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4164" w14:textId="3A4CA247" w:rsidR="00C36F9A" w:rsidRDefault="00787553" w:rsidP="008E7FCF">
      <w:pPr>
        <w:spacing w:after="0"/>
      </w:pPr>
      <w:r>
        <w:t xml:space="preserve">Full details of the programme (including terms and conditions) are included within this document for reference.  Please direct all enquiries to </w:t>
      </w:r>
      <w:hyperlink r:id="rId7" w:history="1">
        <w:r w:rsidR="008E7FCF" w:rsidRPr="00FE19BF">
          <w:rPr>
            <w:rStyle w:val="Hyperlink"/>
          </w:rPr>
          <w:t>info@pathology.support</w:t>
        </w:r>
      </w:hyperlink>
      <w:r w:rsidR="008E7FCF">
        <w:t xml:space="preserve"> </w:t>
      </w:r>
    </w:p>
    <w:p w14:paraId="3E895413" w14:textId="21F1BC24" w:rsidR="00787553" w:rsidRDefault="00787553" w:rsidP="00787553">
      <w:pPr>
        <w:spacing w:after="0" w:line="240" w:lineRule="auto"/>
      </w:pPr>
    </w:p>
    <w:p w14:paraId="252C289B" w14:textId="34960311" w:rsidR="008E7FCF" w:rsidRPr="008E7FCF" w:rsidRDefault="008E7FCF" w:rsidP="00787553">
      <w:pPr>
        <w:spacing w:after="0" w:line="240" w:lineRule="auto"/>
        <w:rPr>
          <w:b/>
          <w:bCs/>
        </w:rPr>
      </w:pPr>
      <w:r w:rsidRPr="008E7FCF">
        <w:rPr>
          <w:b/>
          <w:bCs/>
        </w:rPr>
        <w:t>Organisation and primary contact details</w:t>
      </w:r>
    </w:p>
    <w:p w14:paraId="356B1FF7" w14:textId="77777777" w:rsidR="00787553" w:rsidRDefault="00787553" w:rsidP="00787553">
      <w:pPr>
        <w:spacing w:after="0" w:line="240" w:lineRule="auto"/>
      </w:pPr>
    </w:p>
    <w:tbl>
      <w:tblPr>
        <w:tblStyle w:val="TableGrid"/>
        <w:tblW w:w="0" w:type="auto"/>
        <w:tblLook w:val="04A0" w:firstRow="1" w:lastRow="0" w:firstColumn="1" w:lastColumn="0" w:noHBand="0" w:noVBand="1"/>
      </w:tblPr>
      <w:tblGrid>
        <w:gridCol w:w="3681"/>
        <w:gridCol w:w="5335"/>
      </w:tblGrid>
      <w:tr w:rsidR="005B1308" w:rsidRPr="00C36F9A" w14:paraId="08910F4C" w14:textId="77777777" w:rsidTr="00A35AAA">
        <w:tc>
          <w:tcPr>
            <w:tcW w:w="9016" w:type="dxa"/>
            <w:gridSpan w:val="2"/>
            <w:shd w:val="clear" w:color="auto" w:fill="9CC2E5" w:themeFill="accent1" w:themeFillTint="99"/>
          </w:tcPr>
          <w:p w14:paraId="69B61002" w14:textId="6F81D3BA" w:rsidR="005B1308" w:rsidRPr="00C36F9A" w:rsidRDefault="005B1308" w:rsidP="00A35AAA">
            <w:pPr>
              <w:rPr>
                <w:b/>
              </w:rPr>
            </w:pPr>
            <w:r>
              <w:rPr>
                <w:b/>
              </w:rPr>
              <w:t>Primary Contact Person:</w:t>
            </w:r>
          </w:p>
        </w:tc>
      </w:tr>
      <w:tr w:rsidR="005B1308" w14:paraId="0785B759" w14:textId="77777777" w:rsidTr="00A35AAA">
        <w:tc>
          <w:tcPr>
            <w:tcW w:w="3681" w:type="dxa"/>
          </w:tcPr>
          <w:p w14:paraId="40047FAC" w14:textId="77777777" w:rsidR="005B1308" w:rsidRPr="005B1308" w:rsidRDefault="005B1308" w:rsidP="00A35AAA">
            <w:r>
              <w:t>Main Contact Name:</w:t>
            </w:r>
          </w:p>
        </w:tc>
        <w:tc>
          <w:tcPr>
            <w:tcW w:w="5335" w:type="dxa"/>
          </w:tcPr>
          <w:p w14:paraId="07A2B1A5" w14:textId="77777777" w:rsidR="005B1308" w:rsidRDefault="005B1308" w:rsidP="00A35AAA"/>
        </w:tc>
      </w:tr>
      <w:tr w:rsidR="005B1308" w14:paraId="18659F61" w14:textId="77777777" w:rsidTr="00A35AAA">
        <w:tc>
          <w:tcPr>
            <w:tcW w:w="3681" w:type="dxa"/>
          </w:tcPr>
          <w:p w14:paraId="2FD791D9" w14:textId="77777777" w:rsidR="005B1308" w:rsidRDefault="005B1308" w:rsidP="005B1308">
            <w:r>
              <w:t>Organisation Name:</w:t>
            </w:r>
          </w:p>
        </w:tc>
        <w:tc>
          <w:tcPr>
            <w:tcW w:w="5335" w:type="dxa"/>
          </w:tcPr>
          <w:p w14:paraId="7C02F45D" w14:textId="77777777" w:rsidR="005B1308" w:rsidRDefault="005B1308" w:rsidP="00A35AAA"/>
        </w:tc>
      </w:tr>
      <w:tr w:rsidR="005B1308" w14:paraId="64E3D040" w14:textId="77777777" w:rsidTr="00A35AAA">
        <w:tc>
          <w:tcPr>
            <w:tcW w:w="3681" w:type="dxa"/>
          </w:tcPr>
          <w:p w14:paraId="0DA00F01" w14:textId="77777777" w:rsidR="005B1308" w:rsidRDefault="005B1308" w:rsidP="00A35AAA">
            <w:r>
              <w:t>Main Contact Email:</w:t>
            </w:r>
          </w:p>
        </w:tc>
        <w:tc>
          <w:tcPr>
            <w:tcW w:w="5335" w:type="dxa"/>
          </w:tcPr>
          <w:p w14:paraId="506C46C5" w14:textId="77777777" w:rsidR="005B1308" w:rsidRDefault="005B1308" w:rsidP="00A35AAA"/>
        </w:tc>
      </w:tr>
      <w:tr w:rsidR="005B1308" w14:paraId="71256655" w14:textId="77777777" w:rsidTr="00A35AAA">
        <w:tc>
          <w:tcPr>
            <w:tcW w:w="3681" w:type="dxa"/>
          </w:tcPr>
          <w:p w14:paraId="12B91B8B" w14:textId="77777777" w:rsidR="005B1308" w:rsidRDefault="005B1308" w:rsidP="00A35AAA">
            <w:r>
              <w:t>Main Contact Telephone No:</w:t>
            </w:r>
          </w:p>
        </w:tc>
        <w:tc>
          <w:tcPr>
            <w:tcW w:w="5335" w:type="dxa"/>
          </w:tcPr>
          <w:p w14:paraId="62625360" w14:textId="77777777" w:rsidR="005B1308" w:rsidRDefault="005B1308" w:rsidP="00A35AAA"/>
        </w:tc>
      </w:tr>
    </w:tbl>
    <w:p w14:paraId="2DA8D3E4" w14:textId="77777777" w:rsidR="008E7FCF" w:rsidRDefault="008E7FCF" w:rsidP="00084061">
      <w:pPr>
        <w:spacing w:after="0" w:line="240" w:lineRule="auto"/>
      </w:pPr>
    </w:p>
    <w:p w14:paraId="5904B771" w14:textId="77777777" w:rsidR="008E7FCF" w:rsidRDefault="008E7FCF" w:rsidP="00084061">
      <w:pPr>
        <w:spacing w:after="0" w:line="240" w:lineRule="auto"/>
      </w:pPr>
    </w:p>
    <w:p w14:paraId="037334AE" w14:textId="689028DD" w:rsidR="008E7FCF" w:rsidRDefault="008E7FCF" w:rsidP="008E7FCF">
      <w:pPr>
        <w:spacing w:after="0" w:line="240" w:lineRule="auto"/>
        <w:rPr>
          <w:b/>
          <w:bCs/>
        </w:rPr>
      </w:pPr>
      <w:r>
        <w:rPr>
          <w:b/>
          <w:bCs/>
        </w:rPr>
        <w:t>Subscribed components</w:t>
      </w:r>
    </w:p>
    <w:p w14:paraId="1F082E18" w14:textId="77777777" w:rsidR="006E509B" w:rsidRDefault="008E7FCF" w:rsidP="008E7FCF">
      <w:pPr>
        <w:spacing w:after="0" w:line="240" w:lineRule="auto"/>
      </w:pPr>
      <w:r>
        <w:t>Our Pathology Demand Optimisation Programme contains two distinctive components, which can either be subscribed to separately, or subscribed to together at a discounted rate per component</w:t>
      </w:r>
      <w:r w:rsidR="00C02C6F">
        <w:t>, on an annual (12-month) subscription basis</w:t>
      </w:r>
      <w:r>
        <w:t xml:space="preserve">.  </w:t>
      </w:r>
    </w:p>
    <w:p w14:paraId="165376B3" w14:textId="77777777" w:rsidR="006E509B" w:rsidRDefault="006E509B" w:rsidP="008E7FCF">
      <w:pPr>
        <w:spacing w:after="0" w:line="240" w:lineRule="auto"/>
      </w:pPr>
    </w:p>
    <w:p w14:paraId="2FD5948F" w14:textId="17DD0D49" w:rsidR="008E7FCF" w:rsidRPr="008E7FCF" w:rsidRDefault="008E7FCF" w:rsidP="008E7FCF">
      <w:pPr>
        <w:spacing w:after="0" w:line="240" w:lineRule="auto"/>
      </w:pPr>
      <w:r>
        <w:t xml:space="preserve">Please indicate below which components you </w:t>
      </w:r>
      <w:r w:rsidR="00C02C6F">
        <w:t>will be</w:t>
      </w:r>
      <w:r>
        <w:t xml:space="preserve"> subscribing to:</w:t>
      </w:r>
    </w:p>
    <w:p w14:paraId="1A390419" w14:textId="77777777" w:rsidR="006E509B" w:rsidRPr="0089282B" w:rsidRDefault="006E509B" w:rsidP="006E509B">
      <w:pPr>
        <w:spacing w:after="0" w:line="240" w:lineRule="auto"/>
        <w:rPr>
          <w:i/>
          <w:color w:val="2E74B5" w:themeColor="accent1" w:themeShade="BF"/>
          <w:sz w:val="20"/>
        </w:rPr>
      </w:pPr>
      <w:r>
        <w:rPr>
          <w:i/>
          <w:color w:val="2E74B5" w:themeColor="accent1" w:themeShade="BF"/>
          <w:sz w:val="20"/>
        </w:rPr>
        <w:t xml:space="preserve">.  </w:t>
      </w:r>
    </w:p>
    <w:tbl>
      <w:tblPr>
        <w:tblStyle w:val="TableGrid"/>
        <w:tblW w:w="0" w:type="auto"/>
        <w:tblLook w:val="04A0" w:firstRow="1" w:lastRow="0" w:firstColumn="1" w:lastColumn="0" w:noHBand="0" w:noVBand="1"/>
      </w:tblPr>
      <w:tblGrid>
        <w:gridCol w:w="7225"/>
        <w:gridCol w:w="1791"/>
      </w:tblGrid>
      <w:tr w:rsidR="006E509B" w:rsidRPr="00C36F9A" w14:paraId="0E99ECC7" w14:textId="77777777" w:rsidTr="00FF7E8E">
        <w:trPr>
          <w:trHeight w:val="361"/>
        </w:trPr>
        <w:tc>
          <w:tcPr>
            <w:tcW w:w="9016" w:type="dxa"/>
            <w:gridSpan w:val="2"/>
            <w:shd w:val="clear" w:color="auto" w:fill="9CC2E5" w:themeFill="accent1" w:themeFillTint="99"/>
          </w:tcPr>
          <w:p w14:paraId="185EF998" w14:textId="77777777" w:rsidR="006E509B" w:rsidRPr="00C36F9A" w:rsidRDefault="006E509B" w:rsidP="00FF7E8E">
            <w:pPr>
              <w:rPr>
                <w:b/>
              </w:rPr>
            </w:pPr>
            <w:r>
              <w:rPr>
                <w:b/>
              </w:rPr>
              <w:t>Subscription Details – Please Select One Only</w:t>
            </w:r>
          </w:p>
        </w:tc>
      </w:tr>
      <w:tr w:rsidR="006E509B" w14:paraId="4987C22B" w14:textId="77777777" w:rsidTr="00FF7E8E">
        <w:trPr>
          <w:trHeight w:val="351"/>
        </w:trPr>
        <w:tc>
          <w:tcPr>
            <w:tcW w:w="7225" w:type="dxa"/>
          </w:tcPr>
          <w:p w14:paraId="421D3661" w14:textId="76F717AC" w:rsidR="006E509B" w:rsidRPr="006E509B" w:rsidRDefault="006E509B" w:rsidP="006E509B">
            <w:pPr>
              <w:rPr>
                <w:lang w:val="nl-NL"/>
              </w:rPr>
            </w:pPr>
            <w:r w:rsidRPr="006E509B">
              <w:rPr>
                <w:lang w:val="nl-NL"/>
              </w:rPr>
              <w:t>GP Testing Demand Optimisation Component (£5,000+VAT)</w:t>
            </w:r>
          </w:p>
        </w:tc>
        <w:tc>
          <w:tcPr>
            <w:tcW w:w="1791" w:type="dxa"/>
          </w:tcPr>
          <w:p w14:paraId="75BC07E5" w14:textId="77777777" w:rsidR="006E509B" w:rsidRDefault="006E509B" w:rsidP="006E509B">
            <w:r>
              <w:rPr>
                <w:noProof/>
                <w:lang w:eastAsia="en-GB"/>
              </w:rPr>
              <mc:AlternateContent>
                <mc:Choice Requires="wps">
                  <w:drawing>
                    <wp:anchor distT="0" distB="0" distL="114300" distR="114300" simplePos="0" relativeHeight="251671552" behindDoc="0" locked="0" layoutInCell="1" allowOverlap="1" wp14:anchorId="192045E1" wp14:editId="062587AF">
                      <wp:simplePos x="0" y="0"/>
                      <wp:positionH relativeFrom="column">
                        <wp:posOffset>-3175</wp:posOffset>
                      </wp:positionH>
                      <wp:positionV relativeFrom="paragraph">
                        <wp:posOffset>10795</wp:posOffset>
                      </wp:positionV>
                      <wp:extent cx="13335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DF078" id="Rectangle 18" o:spid="_x0000_s1026" style="position:absolute;margin-left:-.25pt;margin-top:.85pt;width:10.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" filled="f" strokecolor="#1f4d78 [1604]" strokeweight="1pt"/>
                  </w:pict>
                </mc:Fallback>
              </mc:AlternateContent>
            </w:r>
            <w:r w:rsidRPr="006E509B">
              <w:rPr>
                <w:lang w:val="nl-NL"/>
              </w:rPr>
              <w:t xml:space="preserve">      </w:t>
            </w:r>
            <w:r>
              <w:t>(please tick)</w:t>
            </w:r>
          </w:p>
        </w:tc>
      </w:tr>
      <w:tr w:rsidR="006E509B" w14:paraId="3933347F" w14:textId="77777777" w:rsidTr="00FF7E8E">
        <w:trPr>
          <w:trHeight w:val="369"/>
        </w:trPr>
        <w:tc>
          <w:tcPr>
            <w:tcW w:w="7225" w:type="dxa"/>
          </w:tcPr>
          <w:p w14:paraId="7830CDB3" w14:textId="081F7533" w:rsidR="006E509B" w:rsidRPr="006E509B" w:rsidRDefault="006E509B" w:rsidP="006E509B">
            <w:pPr>
              <w:rPr>
                <w:lang w:val="fr-FR"/>
              </w:rPr>
            </w:pPr>
            <w:r w:rsidRPr="006E509B">
              <w:rPr>
                <w:lang w:val="fr-FR"/>
              </w:rPr>
              <w:t>Diabetes Patient Management Component</w:t>
            </w:r>
            <w:r w:rsidRPr="006E509B">
              <w:rPr>
                <w:lang w:val="fr-FR"/>
              </w:rPr>
              <w:t xml:space="preserve"> (£5,000+VAT)</w:t>
            </w:r>
          </w:p>
        </w:tc>
        <w:tc>
          <w:tcPr>
            <w:tcW w:w="1791" w:type="dxa"/>
          </w:tcPr>
          <w:p w14:paraId="03504351" w14:textId="77777777" w:rsidR="006E509B" w:rsidRDefault="006E509B" w:rsidP="006E509B">
            <w:r>
              <w:rPr>
                <w:noProof/>
                <w:lang w:eastAsia="en-GB"/>
              </w:rPr>
              <mc:AlternateContent>
                <mc:Choice Requires="wps">
                  <w:drawing>
                    <wp:anchor distT="0" distB="0" distL="114300" distR="114300" simplePos="0" relativeHeight="251672576" behindDoc="0" locked="0" layoutInCell="1" allowOverlap="1" wp14:anchorId="68D2E7DD" wp14:editId="7E15F853">
                      <wp:simplePos x="0" y="0"/>
                      <wp:positionH relativeFrom="column">
                        <wp:posOffset>-3175</wp:posOffset>
                      </wp:positionH>
                      <wp:positionV relativeFrom="paragraph">
                        <wp:posOffset>10795</wp:posOffset>
                      </wp:positionV>
                      <wp:extent cx="133350" cy="1428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DD058" id="Rectangle 19" o:spid="_x0000_s1026" style="position:absolute;margin-left:-.25pt;margin-top:.85pt;width:10.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" filled="f" strokecolor="#1f4d78 [1604]" strokeweight="1pt"/>
                  </w:pict>
                </mc:Fallback>
              </mc:AlternateContent>
            </w:r>
            <w:r w:rsidRPr="006E509B">
              <w:rPr>
                <w:lang w:val="fr-FR"/>
              </w:rPr>
              <w:t xml:space="preserve">      </w:t>
            </w:r>
            <w:r>
              <w:t>(please tick)</w:t>
            </w:r>
          </w:p>
        </w:tc>
      </w:tr>
      <w:tr w:rsidR="006E509B" w14:paraId="3F1CA341" w14:textId="77777777" w:rsidTr="00FF7E8E">
        <w:trPr>
          <w:trHeight w:val="373"/>
        </w:trPr>
        <w:tc>
          <w:tcPr>
            <w:tcW w:w="7225" w:type="dxa"/>
          </w:tcPr>
          <w:p w14:paraId="7C71BD35" w14:textId="3F440B3F" w:rsidR="006E509B" w:rsidRDefault="006E509B" w:rsidP="00FF7E8E">
            <w:r>
              <w:t xml:space="preserve">Or: </w:t>
            </w:r>
            <w:r w:rsidRPr="006E509B">
              <w:rPr>
                <w:b/>
                <w:bCs/>
              </w:rPr>
              <w:t>Both Components Together</w:t>
            </w:r>
            <w:r w:rsidRPr="006E509B">
              <w:rPr>
                <w:b/>
                <w:bCs/>
              </w:rPr>
              <w:t xml:space="preserve"> (£</w:t>
            </w:r>
            <w:r w:rsidRPr="006E509B">
              <w:rPr>
                <w:b/>
                <w:bCs/>
              </w:rPr>
              <w:t>9,0</w:t>
            </w:r>
            <w:r w:rsidRPr="006E509B">
              <w:rPr>
                <w:b/>
                <w:bCs/>
              </w:rPr>
              <w:t>00+VAT)</w:t>
            </w:r>
          </w:p>
        </w:tc>
        <w:tc>
          <w:tcPr>
            <w:tcW w:w="1791" w:type="dxa"/>
          </w:tcPr>
          <w:p w14:paraId="32749FA1" w14:textId="77777777" w:rsidR="006E509B" w:rsidRDefault="006E509B" w:rsidP="00FF7E8E">
            <w:r>
              <w:rPr>
                <w:noProof/>
                <w:lang w:eastAsia="en-GB"/>
              </w:rPr>
              <mc:AlternateContent>
                <mc:Choice Requires="wps">
                  <w:drawing>
                    <wp:anchor distT="0" distB="0" distL="114300" distR="114300" simplePos="0" relativeHeight="251669504" behindDoc="0" locked="0" layoutInCell="1" allowOverlap="1" wp14:anchorId="2BE48FB3" wp14:editId="7A699021">
                      <wp:simplePos x="0" y="0"/>
                      <wp:positionH relativeFrom="column">
                        <wp:posOffset>-3175</wp:posOffset>
                      </wp:positionH>
                      <wp:positionV relativeFrom="paragraph">
                        <wp:posOffset>10795</wp:posOffset>
                      </wp:positionV>
                      <wp:extent cx="133350" cy="1428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D2EC3" id="Rectangle 20" o:spid="_x0000_s1026" style="position:absolute;margin-left:-.25pt;margin-top:.85pt;width:10.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" filled="f" strokecolor="#1f4d78 [1604]" strokeweight="1pt"/>
                  </w:pict>
                </mc:Fallback>
              </mc:AlternateContent>
            </w:r>
            <w:r>
              <w:t xml:space="preserve">      (please tick)</w:t>
            </w:r>
          </w:p>
        </w:tc>
      </w:tr>
    </w:tbl>
    <w:p w14:paraId="68583012" w14:textId="307055F1" w:rsidR="006E509B" w:rsidRDefault="006E509B" w:rsidP="00084061">
      <w:pPr>
        <w:spacing w:after="0" w:line="240" w:lineRule="auto"/>
      </w:pPr>
      <w:r>
        <w:rPr>
          <w:i/>
          <w:color w:val="2E74B5" w:themeColor="accent1" w:themeShade="BF"/>
          <w:sz w:val="20"/>
        </w:rPr>
        <w:t xml:space="preserve"> </w:t>
      </w:r>
    </w:p>
    <w:p w14:paraId="25BA74E3" w14:textId="77777777" w:rsidR="00C02C6F" w:rsidRDefault="00C02C6F" w:rsidP="00E67042">
      <w:pPr>
        <w:spacing w:after="120" w:line="240" w:lineRule="auto"/>
      </w:pPr>
    </w:p>
    <w:p w14:paraId="4FE2ABAA" w14:textId="33CB9FB3" w:rsidR="00395B15" w:rsidRDefault="00395B15" w:rsidP="00E67042">
      <w:pPr>
        <w:spacing w:after="120" w:line="240" w:lineRule="auto"/>
      </w:pPr>
      <w:r>
        <w:rPr>
          <w:noProof/>
          <w:lang w:eastAsia="en-GB"/>
        </w:rPr>
        <mc:AlternateContent>
          <mc:Choice Requires="wps">
            <w:drawing>
              <wp:anchor distT="0" distB="0" distL="114300" distR="114300" simplePos="0" relativeHeight="251663360" behindDoc="0" locked="0" layoutInCell="1" allowOverlap="1" wp14:anchorId="36523C69" wp14:editId="0BE46390">
                <wp:simplePos x="0" y="0"/>
                <wp:positionH relativeFrom="column">
                  <wp:posOffset>3918585</wp:posOffset>
                </wp:positionH>
                <wp:positionV relativeFrom="paragraph">
                  <wp:posOffset>19629</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A16CC" id="Rectangle 4" o:spid="_x0000_s1026" style="position:absolute;margin-left:308.55pt;margin-top:1.55pt;width:10.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" filled="f" strokecolor="#1f4d78 [1604]" strokeweight="1pt"/>
            </w:pict>
          </mc:Fallback>
        </mc:AlternateContent>
      </w:r>
      <w:r>
        <w:t xml:space="preserve">Will the subscription </w:t>
      </w:r>
      <w:r w:rsidR="00AE5BE4">
        <w:t xml:space="preserve">cost </w:t>
      </w:r>
      <w:r>
        <w:t xml:space="preserve">be covered by </w:t>
      </w:r>
      <w:r w:rsidR="007A0351">
        <w:t>a</w:t>
      </w:r>
      <w:r>
        <w:t xml:space="preserve"> </w:t>
      </w:r>
      <w:r w:rsidR="00650B76">
        <w:t xml:space="preserve">single </w:t>
      </w:r>
      <w:r>
        <w:t xml:space="preserve">organisation?        </w:t>
      </w:r>
      <w:r>
        <w:tab/>
        <w:t>Yes –</w:t>
      </w:r>
      <w:r w:rsidR="00650B76">
        <w:t xml:space="preserve"> One</w:t>
      </w:r>
      <w:r>
        <w:t xml:space="preserve"> </w:t>
      </w:r>
      <w:r w:rsidR="00650B76">
        <w:t>Organisation</w:t>
      </w:r>
      <w:r>
        <w:t xml:space="preserve">       </w:t>
      </w:r>
    </w:p>
    <w:p w14:paraId="45E07FC9" w14:textId="77777777" w:rsidR="00395B15" w:rsidRDefault="00395B15" w:rsidP="00084061">
      <w:pPr>
        <w:spacing w:after="80" w:line="240" w:lineRule="auto"/>
        <w:ind w:left="5760" w:firstLine="720"/>
      </w:pPr>
      <w:r>
        <w:rPr>
          <w:noProof/>
          <w:lang w:eastAsia="en-GB"/>
        </w:rPr>
        <mc:AlternateContent>
          <mc:Choice Requires="wps">
            <w:drawing>
              <wp:anchor distT="0" distB="0" distL="114300" distR="114300" simplePos="0" relativeHeight="251665408" behindDoc="0" locked="0" layoutInCell="1" allowOverlap="1" wp14:anchorId="53CC2F81" wp14:editId="5B473770">
                <wp:simplePos x="0" y="0"/>
                <wp:positionH relativeFrom="column">
                  <wp:posOffset>3917950</wp:posOffset>
                </wp:positionH>
                <wp:positionV relativeFrom="paragraph">
                  <wp:posOffset>23439</wp:posOffset>
                </wp:positionV>
                <wp:extent cx="1333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DCEC3" id="Rectangle 5" o:spid="_x0000_s1026" style="position:absolute;margin-left:308.5pt;margin-top:1.85pt;width:10.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XQ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" filled="f" strokecolor="#1f4d78 [1604]" strokeweight="1pt"/>
            </w:pict>
          </mc:Fallback>
        </mc:AlternateContent>
      </w:r>
      <w:r>
        <w:t>No – Split Payment</w:t>
      </w:r>
    </w:p>
    <w:p w14:paraId="5093127E" w14:textId="77777777" w:rsidR="00395B15" w:rsidRPr="00084061" w:rsidRDefault="00650B76" w:rsidP="007A0351">
      <w:pPr>
        <w:spacing w:after="0" w:line="240" w:lineRule="auto"/>
        <w:rPr>
          <w:i/>
          <w:color w:val="2E74B5" w:themeColor="accent1" w:themeShade="BF"/>
          <w:sz w:val="20"/>
        </w:rPr>
      </w:pPr>
      <w:r w:rsidRPr="00084061">
        <w:rPr>
          <w:i/>
          <w:color w:val="2E74B5" w:themeColor="accent1" w:themeShade="BF"/>
          <w:sz w:val="20"/>
        </w:rPr>
        <w:t>(I</w:t>
      </w:r>
      <w:r w:rsidR="00395B15" w:rsidRPr="00084061">
        <w:rPr>
          <w:i/>
          <w:color w:val="2E74B5" w:themeColor="accent1" w:themeShade="BF"/>
          <w:sz w:val="20"/>
        </w:rPr>
        <w:t>f you are splitting the cost across more than one organisation please provide details using the additional information section at the end of this form)</w:t>
      </w:r>
    </w:p>
    <w:p w14:paraId="353948C3" w14:textId="77777777" w:rsidR="00395B15" w:rsidRDefault="00395B15" w:rsidP="00395B15">
      <w:pPr>
        <w:spacing w:after="0" w:line="240" w:lineRule="auto"/>
      </w:pPr>
    </w:p>
    <w:tbl>
      <w:tblPr>
        <w:tblStyle w:val="TableGrid"/>
        <w:tblW w:w="0" w:type="auto"/>
        <w:tblLook w:val="04A0" w:firstRow="1" w:lastRow="0" w:firstColumn="1" w:lastColumn="0" w:noHBand="0" w:noVBand="1"/>
      </w:tblPr>
      <w:tblGrid>
        <w:gridCol w:w="3681"/>
        <w:gridCol w:w="5335"/>
      </w:tblGrid>
      <w:tr w:rsidR="001D7437" w:rsidRPr="00C36F9A" w14:paraId="00E17D8E" w14:textId="77777777" w:rsidTr="00A35AAA">
        <w:tc>
          <w:tcPr>
            <w:tcW w:w="9016" w:type="dxa"/>
            <w:gridSpan w:val="2"/>
            <w:shd w:val="clear" w:color="auto" w:fill="9CC2E5" w:themeFill="accent1" w:themeFillTint="99"/>
          </w:tcPr>
          <w:p w14:paraId="71A92446" w14:textId="77777777" w:rsidR="001D7437" w:rsidRPr="00C36F9A" w:rsidRDefault="00395B15" w:rsidP="00A35AAA">
            <w:pPr>
              <w:rPr>
                <w:b/>
              </w:rPr>
            </w:pPr>
            <w:r>
              <w:rPr>
                <w:b/>
              </w:rPr>
              <w:t>Payment Details (if a single organisation is covering the cost):</w:t>
            </w:r>
          </w:p>
        </w:tc>
      </w:tr>
      <w:tr w:rsidR="001D7437" w14:paraId="2F4422C7" w14:textId="77777777" w:rsidTr="00A35AAA">
        <w:tc>
          <w:tcPr>
            <w:tcW w:w="3681" w:type="dxa"/>
          </w:tcPr>
          <w:p w14:paraId="659A6841" w14:textId="77777777" w:rsidR="001D7437" w:rsidRPr="005B1308" w:rsidRDefault="00395B15" w:rsidP="00A35AAA">
            <w:r>
              <w:t>Name of Organisation:</w:t>
            </w:r>
          </w:p>
        </w:tc>
        <w:tc>
          <w:tcPr>
            <w:tcW w:w="5335" w:type="dxa"/>
          </w:tcPr>
          <w:p w14:paraId="6F9E843E" w14:textId="77777777" w:rsidR="001D7437" w:rsidRDefault="001D7437" w:rsidP="00A35AAA"/>
        </w:tc>
      </w:tr>
      <w:tr w:rsidR="001D7437" w14:paraId="0D2DBD63" w14:textId="77777777" w:rsidTr="00A35AAA">
        <w:tc>
          <w:tcPr>
            <w:tcW w:w="3681" w:type="dxa"/>
          </w:tcPr>
          <w:p w14:paraId="63F707A1" w14:textId="77777777" w:rsidR="001D7437" w:rsidRDefault="00395B15" w:rsidP="00A35AAA">
            <w:r>
              <w:t>Purchase Order Number:</w:t>
            </w:r>
          </w:p>
        </w:tc>
        <w:tc>
          <w:tcPr>
            <w:tcW w:w="5335" w:type="dxa"/>
          </w:tcPr>
          <w:p w14:paraId="16EC9571" w14:textId="77777777" w:rsidR="001D7437" w:rsidRDefault="001D7437" w:rsidP="00A35AAA"/>
        </w:tc>
      </w:tr>
      <w:tr w:rsidR="001D7437" w14:paraId="46A6D49C" w14:textId="77777777" w:rsidTr="00A35AAA">
        <w:tc>
          <w:tcPr>
            <w:tcW w:w="3681" w:type="dxa"/>
          </w:tcPr>
          <w:p w14:paraId="2EC72E52" w14:textId="77777777" w:rsidR="001D7437" w:rsidRDefault="00395B15" w:rsidP="00395B15">
            <w:r>
              <w:t>Contact Name for Payment Enquiries:</w:t>
            </w:r>
          </w:p>
        </w:tc>
        <w:tc>
          <w:tcPr>
            <w:tcW w:w="5335" w:type="dxa"/>
          </w:tcPr>
          <w:p w14:paraId="2A48D1D6" w14:textId="77777777" w:rsidR="001D7437" w:rsidRDefault="001D7437" w:rsidP="00A35AAA"/>
        </w:tc>
      </w:tr>
      <w:tr w:rsidR="001D7437" w14:paraId="60A643C3" w14:textId="77777777" w:rsidTr="00A35AAA">
        <w:tc>
          <w:tcPr>
            <w:tcW w:w="3681" w:type="dxa"/>
          </w:tcPr>
          <w:p w14:paraId="093744A9" w14:textId="77777777" w:rsidR="001D7437" w:rsidRDefault="00395B15" w:rsidP="00A35AAA">
            <w:r>
              <w:t>Email Address:</w:t>
            </w:r>
          </w:p>
        </w:tc>
        <w:tc>
          <w:tcPr>
            <w:tcW w:w="5335" w:type="dxa"/>
          </w:tcPr>
          <w:p w14:paraId="2851AEA9" w14:textId="77777777" w:rsidR="001D7437" w:rsidRDefault="001D7437" w:rsidP="00A35AAA"/>
        </w:tc>
      </w:tr>
      <w:tr w:rsidR="001D7437" w14:paraId="6834769C" w14:textId="77777777" w:rsidTr="00A35AAA">
        <w:tc>
          <w:tcPr>
            <w:tcW w:w="3681" w:type="dxa"/>
          </w:tcPr>
          <w:p w14:paraId="65827CC9" w14:textId="77777777" w:rsidR="001D7437" w:rsidRDefault="00395B15" w:rsidP="00A35AAA">
            <w:r>
              <w:t>Telephone Number:</w:t>
            </w:r>
          </w:p>
        </w:tc>
        <w:tc>
          <w:tcPr>
            <w:tcW w:w="5335" w:type="dxa"/>
          </w:tcPr>
          <w:p w14:paraId="59FA08E7" w14:textId="77777777" w:rsidR="001D7437" w:rsidRDefault="001D7437" w:rsidP="00A35AAA"/>
        </w:tc>
      </w:tr>
    </w:tbl>
    <w:p w14:paraId="6BE1BA21" w14:textId="432B2AC8" w:rsidR="006E509B" w:rsidRPr="00A517F0" w:rsidRDefault="006E509B" w:rsidP="006E509B">
      <w:pPr>
        <w:rPr>
          <w:b/>
          <w:i/>
          <w:color w:val="FF0000"/>
          <w:szCs w:val="24"/>
        </w:rPr>
      </w:pPr>
      <w:bookmarkStart w:id="0" w:name="_Hlk3447438"/>
      <w:r w:rsidRPr="00A517F0">
        <w:rPr>
          <w:b/>
          <w:i/>
          <w:color w:val="FF0000"/>
          <w:szCs w:val="24"/>
        </w:rPr>
        <w:t xml:space="preserve">*Before you raise a purchase order please check to see whether our partners Highbury Analytical Limited are set up as a supplier on your finance system, as the </w:t>
      </w:r>
      <w:r>
        <w:rPr>
          <w:b/>
          <w:i/>
          <w:color w:val="FF0000"/>
          <w:szCs w:val="24"/>
        </w:rPr>
        <w:t>Demand Optimisation P</w:t>
      </w:r>
      <w:r w:rsidRPr="00A517F0">
        <w:rPr>
          <w:b/>
          <w:i/>
          <w:color w:val="FF0000"/>
          <w:szCs w:val="24"/>
        </w:rPr>
        <w:t>rogramme</w:t>
      </w:r>
      <w:r>
        <w:rPr>
          <w:b/>
          <w:i/>
          <w:color w:val="FF0000"/>
          <w:szCs w:val="24"/>
        </w:rPr>
        <w:t>s</w:t>
      </w:r>
      <w:r w:rsidRPr="00A517F0">
        <w:rPr>
          <w:b/>
          <w:i/>
          <w:color w:val="FF0000"/>
          <w:szCs w:val="24"/>
        </w:rPr>
        <w:t xml:space="preserve"> </w:t>
      </w:r>
      <w:r>
        <w:rPr>
          <w:b/>
          <w:i/>
          <w:color w:val="FF0000"/>
          <w:szCs w:val="24"/>
        </w:rPr>
        <w:t>are</w:t>
      </w:r>
      <w:r w:rsidRPr="00A517F0">
        <w:rPr>
          <w:b/>
          <w:i/>
          <w:color w:val="FF0000"/>
          <w:szCs w:val="24"/>
        </w:rPr>
        <w:t xml:space="preserve"> no longer invoiced directly by Keele University.  All invoicing for the programme is handled by Highbury Analytical</w:t>
      </w:r>
      <w:r>
        <w:rPr>
          <w:b/>
          <w:i/>
          <w:color w:val="FF0000"/>
          <w:szCs w:val="24"/>
        </w:rPr>
        <w:t xml:space="preserve"> Limited</w:t>
      </w:r>
      <w:r w:rsidRPr="00A517F0">
        <w:rPr>
          <w:b/>
          <w:i/>
          <w:color w:val="FF0000"/>
          <w:szCs w:val="24"/>
        </w:rPr>
        <w:t xml:space="preserve">.  If you need to set </w:t>
      </w:r>
      <w:r>
        <w:rPr>
          <w:b/>
          <w:i/>
          <w:color w:val="FF0000"/>
          <w:szCs w:val="24"/>
        </w:rPr>
        <w:t xml:space="preserve">us </w:t>
      </w:r>
      <w:r w:rsidRPr="00A517F0">
        <w:rPr>
          <w:b/>
          <w:i/>
          <w:color w:val="FF0000"/>
          <w:szCs w:val="24"/>
        </w:rPr>
        <w:t>up a</w:t>
      </w:r>
      <w:r>
        <w:rPr>
          <w:b/>
          <w:i/>
          <w:color w:val="FF0000"/>
          <w:szCs w:val="24"/>
        </w:rPr>
        <w:t>s a</w:t>
      </w:r>
      <w:r w:rsidRPr="00A517F0">
        <w:rPr>
          <w:b/>
          <w:i/>
          <w:color w:val="FF0000"/>
          <w:szCs w:val="24"/>
        </w:rPr>
        <w:t xml:space="preserve"> new supplier, please contact enquiries@highburyanalytical.co.uk </w:t>
      </w:r>
    </w:p>
    <w:bookmarkEnd w:id="0"/>
    <w:p w14:paraId="6F481ED8" w14:textId="0689B497" w:rsidR="00B35D10" w:rsidRPr="006E509B" w:rsidRDefault="00B35D10">
      <w:pPr>
        <w:rPr>
          <w:b/>
          <w:bCs/>
        </w:rPr>
      </w:pPr>
      <w:r w:rsidRPr="006E509B">
        <w:rPr>
          <w:b/>
          <w:bCs/>
        </w:rPr>
        <w:br w:type="page"/>
      </w:r>
    </w:p>
    <w:p w14:paraId="3CD4383C" w14:textId="77777777" w:rsidR="00A70649" w:rsidRDefault="00A70649">
      <w:r w:rsidRPr="00A70649">
        <w:lastRenderedPageBreak/>
        <w:t xml:space="preserve">Please accept our subscription for </w:t>
      </w:r>
      <w:r>
        <w:t>The Benchmarking Partnership Pathology Demand Optimisation Programme</w:t>
      </w:r>
      <w:r w:rsidRPr="00A70649">
        <w:t>.</w:t>
      </w:r>
      <w:r>
        <w:t xml:space="preserve"> </w:t>
      </w:r>
      <w:r w:rsidRPr="00A70649">
        <w:t xml:space="preserve"> I confirm that I have read and accept the Terms and Conditions overleaf and have quoted a valid purchase order number</w:t>
      </w:r>
      <w:r>
        <w:t>(s)</w:t>
      </w:r>
      <w:r w:rsidRPr="00A70649">
        <w:t xml:space="preserve"> as required by my NHS Trust/Organisation’s internal financial procedures. If you have any queries about fees, please contact us on the numbers below.</w:t>
      </w:r>
    </w:p>
    <w:p w14:paraId="347E21B3" w14:textId="77777777" w:rsidR="004D551A" w:rsidRDefault="004D551A"/>
    <w:p w14:paraId="65DFA9F0" w14:textId="77777777" w:rsidR="00A70649" w:rsidRDefault="00A70649"/>
    <w:p w14:paraId="50875B31" w14:textId="77777777" w:rsidR="00A70649" w:rsidRDefault="00A70649">
      <w:r>
        <w:t>Signed: ___________________________________________</w:t>
      </w:r>
      <w:r w:rsidR="005835AA">
        <w:t>_______________________________</w:t>
      </w:r>
    </w:p>
    <w:p w14:paraId="73C23C11" w14:textId="77777777" w:rsidR="00A70649" w:rsidRDefault="00A70649"/>
    <w:p w14:paraId="7D874D23" w14:textId="77777777" w:rsidR="00A70649" w:rsidRDefault="00A70649"/>
    <w:p w14:paraId="4AA72662" w14:textId="77777777" w:rsidR="00A70649" w:rsidRDefault="00A70649">
      <w:r>
        <w:t>Date: _____________________________________________</w:t>
      </w:r>
      <w:r w:rsidR="005835AA">
        <w:t>_______________________________</w:t>
      </w:r>
    </w:p>
    <w:p w14:paraId="09786262" w14:textId="77777777" w:rsidR="00A70649" w:rsidRDefault="00A70649"/>
    <w:p w14:paraId="6A6308D7" w14:textId="77777777" w:rsidR="00A70649" w:rsidRDefault="00A70649"/>
    <w:p w14:paraId="745705A1" w14:textId="77777777" w:rsidR="00A70649" w:rsidRDefault="00A70649">
      <w:r>
        <w:t>Name (Print): ______________________________________________________________________</w:t>
      </w:r>
    </w:p>
    <w:p w14:paraId="497FF669" w14:textId="77777777" w:rsidR="00A70649" w:rsidRDefault="00A70649"/>
    <w:p w14:paraId="4D1CFCF9" w14:textId="77777777" w:rsidR="00A70649" w:rsidRDefault="00A70649"/>
    <w:p w14:paraId="6C21CCB2" w14:textId="77777777" w:rsidR="00A70649" w:rsidRDefault="00A70649">
      <w:r>
        <w:t>Organisation: ______________________________________________________________________</w:t>
      </w:r>
      <w:r>
        <w:br w:type="page"/>
      </w:r>
    </w:p>
    <w:p w14:paraId="67B6CC9C" w14:textId="77777777" w:rsidR="00C84600" w:rsidRPr="00A70649" w:rsidRDefault="00C36F9A" w:rsidP="00C36F9A">
      <w:pPr>
        <w:jc w:val="center"/>
        <w:rPr>
          <w:b/>
        </w:rPr>
      </w:pPr>
      <w:r w:rsidRPr="00A70649">
        <w:rPr>
          <w:b/>
        </w:rPr>
        <w:lastRenderedPageBreak/>
        <w:t xml:space="preserve">Programme </w:t>
      </w:r>
      <w:r w:rsidR="00A8205B">
        <w:rPr>
          <w:b/>
        </w:rPr>
        <w:t>Description and Terms &amp; Conditions</w:t>
      </w:r>
    </w:p>
    <w:p w14:paraId="6AD477ED" w14:textId="77777777" w:rsidR="009D0D4A" w:rsidRPr="00EB488D" w:rsidRDefault="009D0D4A" w:rsidP="009D0D4A">
      <w:pPr>
        <w:rPr>
          <w:b/>
        </w:rPr>
      </w:pPr>
      <w:r w:rsidRPr="00EB488D">
        <w:rPr>
          <w:b/>
        </w:rPr>
        <w:t>1. The Benchmarking Partnership</w:t>
      </w:r>
    </w:p>
    <w:p w14:paraId="71F2F0F3" w14:textId="77777777" w:rsidR="006E509B" w:rsidRDefault="006E509B" w:rsidP="006E509B">
      <w:r>
        <w:t>The Benchmarking Partnership work alongside Highbury Analytical Limited and Beeston Consulting to deliver a range of benchmarking and consultancy programmes both across the UK and internationally, and were formed in collaboration with Keele University in 2015.  The Benchmarking Partnership team have been delivering pathology/laboratory medicine benchmarking programmes and related consultancy and bespoke data analysis since 2003, and have contributed towards a number of related research papers and publications.  They have also worked closely with the likes of NHS England and Lord Carter, EY Australia, Te Whatu Ora Northern Region New Zealand, National Shared Services Scotland, and PathNet NI.</w:t>
      </w:r>
    </w:p>
    <w:p w14:paraId="10127C83" w14:textId="77777777" w:rsidR="006E509B" w:rsidRDefault="006E509B" w:rsidP="006E509B">
      <w:r>
        <w:t>Our current home is based within the IC6 Smart Innovation Hub at Keele University, hosted by Highbury Analytical Limited.</w:t>
      </w:r>
    </w:p>
    <w:p w14:paraId="303F6629" w14:textId="77777777" w:rsidR="006E509B" w:rsidRPr="000D09A8" w:rsidRDefault="006E509B" w:rsidP="006E509B">
      <w:pPr>
        <w:spacing w:after="40" w:line="240" w:lineRule="auto"/>
        <w:rPr>
          <w:b/>
        </w:rPr>
      </w:pPr>
      <w:r w:rsidRPr="000D09A8">
        <w:rPr>
          <w:b/>
        </w:rPr>
        <w:t xml:space="preserve">The Benchmarking Partnership </w:t>
      </w:r>
      <w:r>
        <w:rPr>
          <w:b/>
        </w:rPr>
        <w:t xml:space="preserve">Core </w:t>
      </w:r>
      <w:r w:rsidRPr="000D09A8">
        <w:rPr>
          <w:b/>
        </w:rPr>
        <w:t>Team:</w:t>
      </w:r>
    </w:p>
    <w:p w14:paraId="0B3F120F" w14:textId="77777777" w:rsidR="006E509B" w:rsidRDefault="006E509B" w:rsidP="006E509B">
      <w:pPr>
        <w:spacing w:after="40" w:line="240" w:lineRule="auto"/>
      </w:pPr>
      <w:r>
        <w:t>David Holland – Programmes Lead</w:t>
      </w:r>
    </w:p>
    <w:p w14:paraId="0DA470CA" w14:textId="77777777" w:rsidR="006E509B" w:rsidRDefault="006E509B" w:rsidP="006E509B">
      <w:pPr>
        <w:spacing w:after="40" w:line="240" w:lineRule="auto"/>
      </w:pPr>
      <w:r>
        <w:t>Dr Phil Hudson – Consultancy Lead</w:t>
      </w:r>
    </w:p>
    <w:p w14:paraId="7887B6B8" w14:textId="77777777" w:rsidR="006E509B" w:rsidRDefault="006E509B" w:rsidP="006E509B">
      <w:pPr>
        <w:spacing w:after="40" w:line="240" w:lineRule="auto"/>
      </w:pPr>
      <w:r>
        <w:t>Dr Lynn Holdsworth – Director of Research</w:t>
      </w:r>
    </w:p>
    <w:p w14:paraId="097999AC" w14:textId="77777777" w:rsidR="006E509B" w:rsidRDefault="006E509B" w:rsidP="006E509B">
      <w:pPr>
        <w:spacing w:after="40" w:line="240" w:lineRule="auto"/>
      </w:pPr>
      <w:r>
        <w:t>Gill Wilson – Data Analysis and Administration</w:t>
      </w:r>
    </w:p>
    <w:p w14:paraId="19091375" w14:textId="77777777" w:rsidR="006E509B" w:rsidRDefault="006E509B" w:rsidP="006E509B">
      <w:pPr>
        <w:spacing w:after="40" w:line="240" w:lineRule="auto"/>
      </w:pPr>
      <w:r>
        <w:t>John Harris – Data Analysis</w:t>
      </w:r>
    </w:p>
    <w:p w14:paraId="0C3C3D48" w14:textId="77777777" w:rsidR="006E509B" w:rsidRDefault="006E509B" w:rsidP="006E509B">
      <w:pPr>
        <w:spacing w:after="40" w:line="240" w:lineRule="auto"/>
      </w:pPr>
      <w:r>
        <w:t>Sue Holland – Data Analysis</w:t>
      </w:r>
    </w:p>
    <w:p w14:paraId="7E07BB75" w14:textId="77777777" w:rsidR="006E509B" w:rsidRDefault="006E509B" w:rsidP="006E509B">
      <w:pPr>
        <w:spacing w:after="40" w:line="240" w:lineRule="auto"/>
      </w:pPr>
      <w:r>
        <w:t>Scarlett Eld – Administration</w:t>
      </w:r>
    </w:p>
    <w:p w14:paraId="09AF8293" w14:textId="77777777" w:rsidR="006E509B" w:rsidRDefault="006E509B" w:rsidP="006E509B">
      <w:pPr>
        <w:spacing w:after="40" w:line="240" w:lineRule="auto"/>
      </w:pPr>
      <w:r>
        <w:t>Imogen Carrahar - Administration</w:t>
      </w:r>
    </w:p>
    <w:p w14:paraId="2D30F9AD" w14:textId="77777777" w:rsidR="006E509B" w:rsidRDefault="006E509B" w:rsidP="006E509B">
      <w:pPr>
        <w:spacing w:after="40" w:line="240" w:lineRule="auto"/>
      </w:pPr>
    </w:p>
    <w:p w14:paraId="4AE72522" w14:textId="77777777" w:rsidR="006E509B" w:rsidRDefault="006E509B" w:rsidP="006E509B">
      <w:pPr>
        <w:spacing w:after="0"/>
      </w:pPr>
      <w:r w:rsidRPr="00EB488D">
        <w:rPr>
          <w:b/>
        </w:rPr>
        <w:t>All correspondence</w:t>
      </w:r>
      <w:r>
        <w:rPr>
          <w:b/>
        </w:rPr>
        <w:t xml:space="preserve"> (including submission of this form)</w:t>
      </w:r>
      <w:r w:rsidRPr="00EB488D">
        <w:rPr>
          <w:b/>
        </w:rPr>
        <w:t xml:space="preserve"> should be directed to</w:t>
      </w:r>
      <w:r>
        <w:t xml:space="preserve">:  </w:t>
      </w:r>
    </w:p>
    <w:p w14:paraId="2088678A" w14:textId="77777777" w:rsidR="006E509B" w:rsidRPr="008539C6" w:rsidRDefault="006E509B" w:rsidP="006E509B">
      <w:pPr>
        <w:spacing w:after="0"/>
        <w:rPr>
          <w:lang w:val="fr-FR"/>
        </w:rPr>
      </w:pPr>
      <w:r w:rsidRPr="008539C6">
        <w:rPr>
          <w:lang w:val="fr-FR"/>
        </w:rPr>
        <w:t>Email:  info@pathology.support</w:t>
      </w:r>
    </w:p>
    <w:p w14:paraId="4849E2D8" w14:textId="77777777" w:rsidR="009D0D4A" w:rsidRDefault="009D0D4A" w:rsidP="00787553"/>
    <w:p w14:paraId="55904D5D" w14:textId="77777777" w:rsidR="00C36F9A" w:rsidRPr="00EB488D" w:rsidRDefault="009D0D4A" w:rsidP="00787553">
      <w:pPr>
        <w:rPr>
          <w:b/>
        </w:rPr>
      </w:pPr>
      <w:r w:rsidRPr="00EB488D">
        <w:rPr>
          <w:b/>
        </w:rPr>
        <w:t>2</w:t>
      </w:r>
      <w:r w:rsidR="00787553" w:rsidRPr="00EB488D">
        <w:rPr>
          <w:b/>
        </w:rPr>
        <w:t xml:space="preserve">. Programme </w:t>
      </w:r>
      <w:r w:rsidR="00026E5F">
        <w:rPr>
          <w:b/>
        </w:rPr>
        <w:t>Description</w:t>
      </w:r>
    </w:p>
    <w:p w14:paraId="1BF4BAE9" w14:textId="05DF9420" w:rsidR="0003078E" w:rsidRDefault="00E03B7E" w:rsidP="00491AAD">
      <w:r>
        <w:t>The Benchmarking Partnership Primary Care Pathology Demand Optimisation Programme is designed to provide both the service provider</w:t>
      </w:r>
      <w:r w:rsidR="00491AAD">
        <w:t xml:space="preserve"> (laboratory)</w:t>
      </w:r>
      <w:r>
        <w:t xml:space="preserve"> and GP/</w:t>
      </w:r>
      <w:r w:rsidR="00FC437B">
        <w:t>ICB</w:t>
      </w:r>
      <w:r>
        <w:t xml:space="preserve"> with </w:t>
      </w:r>
      <w:r w:rsidR="00491AAD">
        <w:t xml:space="preserve">the </w:t>
      </w:r>
      <w:r>
        <w:t xml:space="preserve">information and expertise </w:t>
      </w:r>
      <w:r w:rsidR="00491AAD">
        <w:t>they can utilise to provide a more appropriate, cost effective pathology service th</w:t>
      </w:r>
      <w:r w:rsidR="005623FF">
        <w:t>at delivers better outcomes for</w:t>
      </w:r>
      <w:r w:rsidR="00491AAD">
        <w:t xml:space="preserve"> patient</w:t>
      </w:r>
      <w:r w:rsidR="00EB488D">
        <w:t>s</w:t>
      </w:r>
      <w:r w:rsidR="00491AAD">
        <w:t xml:space="preserve"> and the </w:t>
      </w:r>
      <w:r w:rsidR="005623FF">
        <w:t>wider health economy</w:t>
      </w:r>
      <w:r w:rsidR="00EB488D">
        <w:t xml:space="preserve">.  </w:t>
      </w:r>
      <w:r w:rsidR="00FC437B">
        <w:t>It features two distinct components.</w:t>
      </w:r>
    </w:p>
    <w:p w14:paraId="16B3331F" w14:textId="06F96E9D" w:rsidR="00491AAD" w:rsidRDefault="00FC437B" w:rsidP="00491AAD">
      <w:r>
        <w:t>The first component – “GP Testing Demand Optimisation” -</w:t>
      </w:r>
      <w:r w:rsidR="00864FDE">
        <w:t xml:space="preserve"> relat</w:t>
      </w:r>
      <w:r w:rsidR="0003078E">
        <w:t xml:space="preserve">es pathology service usage </w:t>
      </w:r>
      <w:r w:rsidR="00864FDE">
        <w:t xml:space="preserve">to a range of </w:t>
      </w:r>
      <w:r w:rsidR="0003078E">
        <w:t xml:space="preserve">related </w:t>
      </w:r>
      <w:r w:rsidR="00864FDE">
        <w:t xml:space="preserve">outcomes and best practice targets </w:t>
      </w:r>
      <w:r w:rsidR="0003078E">
        <w:t>using relevant demographic data to draw meaningful comparisons, and provides guidance and advice on how to integrate the information into a successful demand optimisation strategy.  It then tracks progress over the course of the programme to assess the impact of any interventions and initiatives.</w:t>
      </w:r>
    </w:p>
    <w:p w14:paraId="73BCE1C2" w14:textId="360F0641" w:rsidR="001E28A7" w:rsidRDefault="00FC437B" w:rsidP="00491AAD">
      <w:r>
        <w:t>The second component – “Diabetes Patient Management Programme” -</w:t>
      </w:r>
      <w:r w:rsidR="001E28A7">
        <w:t xml:space="preserve"> analyses anonymised patient level HbA1c testing data to look in detail at optimum re-test intervals, the prevalence and impact of testing within (and outside of) best practice, identifying the usage of HbA1c for both diagnosis and patient management, and analysing the number of patients who are tested in primary vs secondary care.  It also relates these data to patient outcomes in terms of condition severity and </w:t>
      </w:r>
      <w:r w:rsidR="001E28A7">
        <w:lastRenderedPageBreak/>
        <w:t>hospital admissions for diabetes to provide a comprehensive review of diabetes patient management.</w:t>
      </w:r>
    </w:p>
    <w:p w14:paraId="302DC3D7" w14:textId="0AAEB8F4" w:rsidR="002C204D" w:rsidRDefault="00FC437B" w:rsidP="002C204D">
      <w:r>
        <w:t>Each component can be subscribed to separately, and will run for 12 months</w:t>
      </w:r>
      <w:r w:rsidR="00491AAD">
        <w:t xml:space="preserve">.  </w:t>
      </w:r>
      <w:r>
        <w:t xml:space="preserve">Up to 12 monthly reports will be produced for each subscribed component, subject to receipt of timely data from the laboratory.  </w:t>
      </w:r>
      <w:r w:rsidR="002C204D">
        <w:t>The programme launched in 2007 and has a proven track record in helping reduce wastage, improve patie</w:t>
      </w:r>
      <w:r w:rsidR="0003078E">
        <w:t>nt management, reduce bed days</w:t>
      </w:r>
      <w:r w:rsidR="002C204D">
        <w:t xml:space="preserve"> across a range of key pathways, and ensure that pathology services are </w:t>
      </w:r>
      <w:r w:rsidR="0003078E">
        <w:t xml:space="preserve">being </w:t>
      </w:r>
      <w:r w:rsidR="002C204D">
        <w:t>used more effectively and appropriately.</w:t>
      </w:r>
    </w:p>
    <w:p w14:paraId="4AE923DA" w14:textId="77777777" w:rsidR="004010DE" w:rsidRDefault="000908E3" w:rsidP="00491AAD">
      <w:r>
        <w:t>The team are on-hand throughout the process to answer questions and queries and to provide feedback and guidance where required.</w:t>
      </w:r>
    </w:p>
    <w:p w14:paraId="6D1141A7" w14:textId="77777777" w:rsidR="0003078E" w:rsidRPr="0003078E" w:rsidRDefault="004010DE" w:rsidP="0003078E">
      <w:pPr>
        <w:rPr>
          <w:b/>
        </w:rPr>
      </w:pPr>
      <w:r>
        <w:rPr>
          <w:b/>
        </w:rPr>
        <w:t xml:space="preserve">3. </w:t>
      </w:r>
      <w:r w:rsidR="0003078E" w:rsidRPr="0003078E">
        <w:rPr>
          <w:b/>
        </w:rPr>
        <w:t>Data</w:t>
      </w:r>
      <w:r>
        <w:rPr>
          <w:b/>
        </w:rPr>
        <w:t xml:space="preserve"> requirements</w:t>
      </w:r>
    </w:p>
    <w:p w14:paraId="4A108D3E" w14:textId="41D25AF3" w:rsidR="004010DE" w:rsidRDefault="004010DE" w:rsidP="0003078E">
      <w:r>
        <w:t>Pathology/laboratory test data need to be provided to The Benchmarking Partnership by the subscriber in a raw Excel/CSV</w:t>
      </w:r>
      <w:r w:rsidR="00FC437B">
        <w:t xml:space="preserve"> format</w:t>
      </w:r>
      <w:r>
        <w:t>.  The data requirements are relatively straightforward, with no questionnaires to complete and no extensive manipulation or processing of data required.</w:t>
      </w:r>
      <w:r w:rsidR="00FC437B">
        <w:t xml:space="preserve">  Guidance documents are available at the start of the process to help with the data formatting.</w:t>
      </w:r>
    </w:p>
    <w:p w14:paraId="4B33D74B" w14:textId="3B09443E" w:rsidR="00FC437B" w:rsidRDefault="00FC437B" w:rsidP="0003078E">
      <w:r>
        <w:t>An initial dataset to cover three complete calendar years are required for each component of the programme for first-time subscribers to the service.  Data may then be provided monthly (or as frequently as the laboratory team feel is appropriate up to monthly) by the laboratory IT team to The Benchmarking Partnership, in order to generate a latest report up to that point.</w:t>
      </w:r>
    </w:p>
    <w:p w14:paraId="4D33CEDB" w14:textId="3741A9C2" w:rsidR="0003078E" w:rsidRDefault="004010DE" w:rsidP="0003078E">
      <w:r>
        <w:t xml:space="preserve">Help and guidance are provided throughout the process.  </w:t>
      </w:r>
      <w:r w:rsidR="0003078E">
        <w:t xml:space="preserve">A data validation session takes place within the laboratory to ensure the numbers are correct </w:t>
      </w:r>
      <w:r>
        <w:t xml:space="preserve">and that the laboratory are happy with them </w:t>
      </w:r>
      <w:r w:rsidR="0003078E">
        <w:t xml:space="preserve">before the process continues to the reporting and phases.  </w:t>
      </w:r>
      <w:r w:rsidR="00FC437B">
        <w:t>A member of The Benchmarking Partnership team will also be available to join you on a remote (eg Teams/Zoom) session with your GP colleagues to help present data on your behalf, if you wish.  This needs to be co-ordinated with the TBP team to ensure availability.</w:t>
      </w:r>
    </w:p>
    <w:p w14:paraId="5793739C" w14:textId="610D32BD" w:rsidR="0003078E" w:rsidRDefault="0003078E" w:rsidP="0003078E">
      <w:r>
        <w:t xml:space="preserve">The pathology test data are mapped to </w:t>
      </w:r>
      <w:r w:rsidR="00FC437B">
        <w:t>external demographic and population data that do not need to be provided by the laboratory.</w:t>
      </w:r>
    </w:p>
    <w:p w14:paraId="07E58F8A" w14:textId="254FA53A" w:rsidR="00E518B5" w:rsidRPr="00663E1E" w:rsidRDefault="00E518B5" w:rsidP="00E518B5">
      <w:pPr>
        <w:rPr>
          <w:b/>
        </w:rPr>
      </w:pPr>
      <w:r>
        <w:rPr>
          <w:b/>
        </w:rPr>
        <w:t xml:space="preserve">4. </w:t>
      </w:r>
      <w:r w:rsidRPr="00663E1E">
        <w:rPr>
          <w:b/>
        </w:rPr>
        <w:t>Data Confidentiality</w:t>
      </w:r>
      <w:r>
        <w:rPr>
          <w:b/>
        </w:rPr>
        <w:t xml:space="preserve"> Agreement</w:t>
      </w:r>
      <w:r w:rsidRPr="00663E1E">
        <w:rPr>
          <w:b/>
        </w:rPr>
        <w:t>:</w:t>
      </w:r>
    </w:p>
    <w:p w14:paraId="0CC04973" w14:textId="77777777" w:rsidR="00E518B5" w:rsidRDefault="00E518B5" w:rsidP="00E518B5">
      <w:r>
        <w:t>By signing this form and agreeing to subscribe to the programme, the subscribing organisation (and The Benchmarking Partnership themselves) agree that neither identifiable laboratory-level data, nor the names and identities of those involved, will be shared with organisations external to the delivery of this programme without written permission.  Occasionally, The Benchmarking Partnership may share fully anonymised summary-level only (aggregated) statistics with external organisations for the purpose of research, or in support of pathology initiatives such as those of national interest, but will never name participating laboratories nor share identifiable individual data.</w:t>
      </w:r>
    </w:p>
    <w:p w14:paraId="4EC70F86" w14:textId="556B8740" w:rsidR="00A67DBB" w:rsidRPr="00A67DBB" w:rsidRDefault="00E518B5" w:rsidP="00A67DBB">
      <w:pPr>
        <w:rPr>
          <w:b/>
        </w:rPr>
      </w:pPr>
      <w:r>
        <w:rPr>
          <w:b/>
        </w:rPr>
        <w:t>5</w:t>
      </w:r>
      <w:r w:rsidR="00A67DBB" w:rsidRPr="00A67DBB">
        <w:rPr>
          <w:b/>
        </w:rPr>
        <w:t>. Fees and Charges</w:t>
      </w:r>
    </w:p>
    <w:p w14:paraId="45AB5814" w14:textId="50EF7FA4" w:rsidR="00A8205B" w:rsidRDefault="00E67042" w:rsidP="00A67DBB">
      <w:r>
        <w:t xml:space="preserve">An annual subscription to the </w:t>
      </w:r>
      <w:r w:rsidR="00FC437B">
        <w:t xml:space="preserve">each component of </w:t>
      </w:r>
      <w:r>
        <w:t>Pathology Demand Optimisation Programme costs £</w:t>
      </w:r>
      <w:r w:rsidR="00FC437B">
        <w:t>5</w:t>
      </w:r>
      <w:r>
        <w:t xml:space="preserve">,000 (+VAT), </w:t>
      </w:r>
      <w:r w:rsidR="00FC437B">
        <w:t>however both can be subscribed to together for a total £9,000 (+VAT).</w:t>
      </w:r>
    </w:p>
    <w:p w14:paraId="595ECD48" w14:textId="20D430A7" w:rsidR="00E67042" w:rsidRDefault="00FC437B" w:rsidP="00A67DBB">
      <w:r>
        <w:t>Bespoke analyses of the data by the TBP team may be available at an additional cost – please contact us for further information.</w:t>
      </w:r>
    </w:p>
    <w:p w14:paraId="761FE778" w14:textId="77777777" w:rsidR="00F3703B" w:rsidRPr="00612973" w:rsidRDefault="00F3703B" w:rsidP="00F3703B">
      <w:r w:rsidRPr="00612973">
        <w:rPr>
          <w:bCs/>
        </w:rPr>
        <w:lastRenderedPageBreak/>
        <w:t xml:space="preserve">Our partners </w:t>
      </w:r>
      <w:r>
        <w:rPr>
          <w:bCs/>
        </w:rPr>
        <w:t xml:space="preserve">and host organisation </w:t>
      </w:r>
      <w:r w:rsidRPr="00612973">
        <w:rPr>
          <w:bCs/>
        </w:rPr>
        <w:t xml:space="preserve">Highbury Analytical Limited process all invoices and payments for </w:t>
      </w:r>
      <w:r>
        <w:rPr>
          <w:bCs/>
        </w:rPr>
        <w:t>this programme</w:t>
      </w:r>
      <w:r w:rsidRPr="00612973">
        <w:rPr>
          <w:bCs/>
        </w:rPr>
        <w:t>.</w:t>
      </w:r>
      <w:r>
        <w:t xml:space="preserve">  If you do not currently have Highbury Analytical Limited set up as a supplier on your system then please contact </w:t>
      </w:r>
      <w:hyperlink r:id="rId8" w:history="1">
        <w:r w:rsidRPr="001374EB">
          <w:rPr>
            <w:rStyle w:val="Hyperlink"/>
          </w:rPr>
          <w:t>enquiries@highburyanalytical.co.uk</w:t>
        </w:r>
      </w:hyperlink>
      <w:r>
        <w:t xml:space="preserve"> to begin that process prior to raising a purchase order.  </w:t>
      </w:r>
      <w:r w:rsidRPr="00612973">
        <w:rPr>
          <w:b/>
          <w:bCs/>
        </w:rPr>
        <w:t xml:space="preserve">Please note that Keele University no longer </w:t>
      </w:r>
      <w:r>
        <w:rPr>
          <w:b/>
          <w:bCs/>
        </w:rPr>
        <w:t xml:space="preserve">directly </w:t>
      </w:r>
      <w:r w:rsidRPr="00612973">
        <w:rPr>
          <w:b/>
          <w:bCs/>
        </w:rPr>
        <w:t>process invoices for this programme.</w:t>
      </w:r>
    </w:p>
    <w:p w14:paraId="40FFCAB3" w14:textId="77777777" w:rsidR="00F3703B" w:rsidRDefault="00F3703B" w:rsidP="00F3703B">
      <w:r>
        <w:t>On receipt of your application an invoice will be sent from Highbury Analytical Limited to the invoice contact(s) quoting the purchase order number(s) you have provided.  Payment terms are 30 days from invoice date.  VAT is payable on all invoices at the prevailing rate (currently 20%).</w:t>
      </w:r>
    </w:p>
    <w:p w14:paraId="30100248" w14:textId="77777777" w:rsidR="00F3703B" w:rsidRDefault="00F3703B" w:rsidP="00F3703B">
      <w:r>
        <w:t xml:space="preserve">You have 30 days from the date on this subscription form to cancel your enrolment in the program with full refund of fees for the year, provided no work has commenced on production of your reports.  Cancellation must be made in writing and addressed to Mr David Holland at: c/o Highbury Analytical Limited, Innovation Centre 6, Smart Innovation Hub, Denise Coates Foundation Building, Keele University ST5 5NS, or emailed to </w:t>
      </w:r>
      <w:hyperlink r:id="rId9" w:history="1">
        <w:r w:rsidRPr="006F5262">
          <w:rPr>
            <w:rStyle w:val="Hyperlink"/>
          </w:rPr>
          <w:t>info@pathology.support</w:t>
        </w:r>
      </w:hyperlink>
    </w:p>
    <w:p w14:paraId="362A8479" w14:textId="77777777" w:rsidR="00F3703B" w:rsidRDefault="00F3703B">
      <w:pPr>
        <w:rPr>
          <w:b/>
        </w:rPr>
      </w:pPr>
      <w:r>
        <w:rPr>
          <w:b/>
        </w:rPr>
        <w:br w:type="page"/>
      </w:r>
    </w:p>
    <w:p w14:paraId="11E01C02" w14:textId="05C3734A" w:rsidR="006C02BE" w:rsidRPr="008940A5" w:rsidRDefault="006C02BE" w:rsidP="00C36F9A">
      <w:pPr>
        <w:jc w:val="center"/>
        <w:rPr>
          <w:b/>
        </w:rPr>
      </w:pPr>
      <w:r w:rsidRPr="008940A5">
        <w:rPr>
          <w:b/>
        </w:rPr>
        <w:lastRenderedPageBreak/>
        <w:t>Additional Information</w:t>
      </w:r>
    </w:p>
    <w:p w14:paraId="5D9F368A" w14:textId="77777777" w:rsidR="008940A5" w:rsidRDefault="008940A5" w:rsidP="008940A5">
      <w:r>
        <w:t>If the subscription cost is being split between more than one organisation, please provide details of each organisation below:</w:t>
      </w:r>
    </w:p>
    <w:tbl>
      <w:tblPr>
        <w:tblStyle w:val="TableGrid"/>
        <w:tblW w:w="0" w:type="auto"/>
        <w:tblLook w:val="04A0" w:firstRow="1" w:lastRow="0" w:firstColumn="1" w:lastColumn="0" w:noHBand="0" w:noVBand="1"/>
      </w:tblPr>
      <w:tblGrid>
        <w:gridCol w:w="3681"/>
        <w:gridCol w:w="5335"/>
      </w:tblGrid>
      <w:tr w:rsidR="008940A5" w:rsidRPr="00C36F9A" w14:paraId="4C31BA9D" w14:textId="77777777" w:rsidTr="00A35AAA">
        <w:tc>
          <w:tcPr>
            <w:tcW w:w="9016" w:type="dxa"/>
            <w:gridSpan w:val="2"/>
            <w:shd w:val="clear" w:color="auto" w:fill="9CC2E5" w:themeFill="accent1" w:themeFillTint="99"/>
          </w:tcPr>
          <w:p w14:paraId="3FFC46B7" w14:textId="77777777" w:rsidR="008940A5" w:rsidRPr="00C36F9A" w:rsidRDefault="008940A5" w:rsidP="008940A5">
            <w:pPr>
              <w:rPr>
                <w:b/>
              </w:rPr>
            </w:pPr>
            <w:r>
              <w:rPr>
                <w:b/>
              </w:rPr>
              <w:t>Payment Details for First Organisation</w:t>
            </w:r>
          </w:p>
        </w:tc>
      </w:tr>
      <w:tr w:rsidR="008940A5" w14:paraId="34A6223C" w14:textId="77777777" w:rsidTr="00A35AAA">
        <w:tc>
          <w:tcPr>
            <w:tcW w:w="3681" w:type="dxa"/>
          </w:tcPr>
          <w:p w14:paraId="2AD0F499" w14:textId="77777777" w:rsidR="008940A5" w:rsidRPr="005B1308" w:rsidRDefault="008940A5" w:rsidP="00A35AAA">
            <w:r>
              <w:t>Name of Organisation:</w:t>
            </w:r>
          </w:p>
        </w:tc>
        <w:tc>
          <w:tcPr>
            <w:tcW w:w="5335" w:type="dxa"/>
          </w:tcPr>
          <w:p w14:paraId="2D446A13" w14:textId="77777777" w:rsidR="008940A5" w:rsidRDefault="008940A5" w:rsidP="00A35AAA"/>
        </w:tc>
      </w:tr>
      <w:tr w:rsidR="008940A5" w14:paraId="6899513A" w14:textId="77777777" w:rsidTr="00A35AAA">
        <w:tc>
          <w:tcPr>
            <w:tcW w:w="3681" w:type="dxa"/>
          </w:tcPr>
          <w:p w14:paraId="647C2EA3" w14:textId="77777777" w:rsidR="008940A5" w:rsidRDefault="008940A5" w:rsidP="00A35AAA">
            <w:r>
              <w:t>Amount Payable:</w:t>
            </w:r>
          </w:p>
        </w:tc>
        <w:tc>
          <w:tcPr>
            <w:tcW w:w="5335" w:type="dxa"/>
          </w:tcPr>
          <w:p w14:paraId="0B161110" w14:textId="77777777" w:rsidR="008940A5" w:rsidRDefault="008940A5" w:rsidP="00A35AAA">
            <w:r>
              <w:t>£</w:t>
            </w:r>
          </w:p>
        </w:tc>
      </w:tr>
      <w:tr w:rsidR="008940A5" w14:paraId="689928A6" w14:textId="77777777" w:rsidTr="00A35AAA">
        <w:tc>
          <w:tcPr>
            <w:tcW w:w="3681" w:type="dxa"/>
          </w:tcPr>
          <w:p w14:paraId="5CCE03AC" w14:textId="77777777" w:rsidR="008940A5" w:rsidRDefault="008940A5" w:rsidP="00A35AAA">
            <w:r>
              <w:t>Purchase Order Number:</w:t>
            </w:r>
          </w:p>
        </w:tc>
        <w:tc>
          <w:tcPr>
            <w:tcW w:w="5335" w:type="dxa"/>
          </w:tcPr>
          <w:p w14:paraId="666FC303" w14:textId="77777777" w:rsidR="008940A5" w:rsidRDefault="008940A5" w:rsidP="00A35AAA"/>
        </w:tc>
      </w:tr>
      <w:tr w:rsidR="008940A5" w14:paraId="1A2E9C07" w14:textId="77777777" w:rsidTr="00A35AAA">
        <w:tc>
          <w:tcPr>
            <w:tcW w:w="3681" w:type="dxa"/>
          </w:tcPr>
          <w:p w14:paraId="56B94AFC" w14:textId="77777777" w:rsidR="008940A5" w:rsidRDefault="008940A5" w:rsidP="00A35AAA">
            <w:r>
              <w:t>Contact Name for Payment Enquiries:</w:t>
            </w:r>
          </w:p>
        </w:tc>
        <w:tc>
          <w:tcPr>
            <w:tcW w:w="5335" w:type="dxa"/>
          </w:tcPr>
          <w:p w14:paraId="1D7E87DB" w14:textId="77777777" w:rsidR="008940A5" w:rsidRDefault="008940A5" w:rsidP="00A35AAA"/>
        </w:tc>
      </w:tr>
      <w:tr w:rsidR="008940A5" w14:paraId="6CBA3437" w14:textId="77777777" w:rsidTr="00A35AAA">
        <w:tc>
          <w:tcPr>
            <w:tcW w:w="3681" w:type="dxa"/>
          </w:tcPr>
          <w:p w14:paraId="09246641" w14:textId="77777777" w:rsidR="008940A5" w:rsidRDefault="008940A5" w:rsidP="00A35AAA">
            <w:r>
              <w:t>Email Address:</w:t>
            </w:r>
          </w:p>
        </w:tc>
        <w:tc>
          <w:tcPr>
            <w:tcW w:w="5335" w:type="dxa"/>
          </w:tcPr>
          <w:p w14:paraId="54737772" w14:textId="77777777" w:rsidR="008940A5" w:rsidRDefault="008940A5" w:rsidP="00A35AAA"/>
        </w:tc>
      </w:tr>
      <w:tr w:rsidR="008940A5" w14:paraId="7D0E61B4" w14:textId="77777777" w:rsidTr="00A35AAA">
        <w:tc>
          <w:tcPr>
            <w:tcW w:w="3681" w:type="dxa"/>
          </w:tcPr>
          <w:p w14:paraId="3E722016" w14:textId="77777777" w:rsidR="008940A5" w:rsidRDefault="008940A5" w:rsidP="00A35AAA">
            <w:r>
              <w:t>Telephone Number:</w:t>
            </w:r>
          </w:p>
        </w:tc>
        <w:tc>
          <w:tcPr>
            <w:tcW w:w="5335" w:type="dxa"/>
          </w:tcPr>
          <w:p w14:paraId="3B45BA71" w14:textId="77777777" w:rsidR="008940A5" w:rsidRDefault="008940A5" w:rsidP="00A35AAA"/>
        </w:tc>
      </w:tr>
    </w:tbl>
    <w:p w14:paraId="2BC742BC"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44868460" w14:textId="77777777" w:rsidTr="00A35AAA">
        <w:tc>
          <w:tcPr>
            <w:tcW w:w="9016" w:type="dxa"/>
            <w:gridSpan w:val="2"/>
            <w:shd w:val="clear" w:color="auto" w:fill="9CC2E5" w:themeFill="accent1" w:themeFillTint="99"/>
          </w:tcPr>
          <w:p w14:paraId="1657E205" w14:textId="77777777" w:rsidR="008940A5" w:rsidRPr="00C36F9A" w:rsidRDefault="008940A5" w:rsidP="008940A5">
            <w:pPr>
              <w:rPr>
                <w:b/>
              </w:rPr>
            </w:pPr>
            <w:r>
              <w:rPr>
                <w:b/>
              </w:rPr>
              <w:t>Payment Details for Second Organisation</w:t>
            </w:r>
          </w:p>
        </w:tc>
      </w:tr>
      <w:tr w:rsidR="008940A5" w14:paraId="3B884E16" w14:textId="77777777" w:rsidTr="00A35AAA">
        <w:tc>
          <w:tcPr>
            <w:tcW w:w="3681" w:type="dxa"/>
          </w:tcPr>
          <w:p w14:paraId="7791374E" w14:textId="77777777" w:rsidR="008940A5" w:rsidRPr="005B1308" w:rsidRDefault="008940A5" w:rsidP="00A35AAA">
            <w:r>
              <w:t>Name of Organisation:</w:t>
            </w:r>
          </w:p>
        </w:tc>
        <w:tc>
          <w:tcPr>
            <w:tcW w:w="5335" w:type="dxa"/>
          </w:tcPr>
          <w:p w14:paraId="1903A2C6" w14:textId="77777777" w:rsidR="008940A5" w:rsidRDefault="008940A5" w:rsidP="00A35AAA"/>
        </w:tc>
      </w:tr>
      <w:tr w:rsidR="008940A5" w14:paraId="2BAE12AC" w14:textId="77777777" w:rsidTr="00A35AAA">
        <w:tc>
          <w:tcPr>
            <w:tcW w:w="3681" w:type="dxa"/>
          </w:tcPr>
          <w:p w14:paraId="772878C2" w14:textId="77777777" w:rsidR="008940A5" w:rsidRDefault="008940A5" w:rsidP="00A35AAA">
            <w:r>
              <w:t>Amount Payable:</w:t>
            </w:r>
          </w:p>
        </w:tc>
        <w:tc>
          <w:tcPr>
            <w:tcW w:w="5335" w:type="dxa"/>
          </w:tcPr>
          <w:p w14:paraId="66AD915A" w14:textId="77777777" w:rsidR="008940A5" w:rsidRDefault="008940A5" w:rsidP="00A35AAA">
            <w:r>
              <w:t>£</w:t>
            </w:r>
          </w:p>
        </w:tc>
      </w:tr>
      <w:tr w:rsidR="008940A5" w14:paraId="13789E3D" w14:textId="77777777" w:rsidTr="00A35AAA">
        <w:tc>
          <w:tcPr>
            <w:tcW w:w="3681" w:type="dxa"/>
          </w:tcPr>
          <w:p w14:paraId="500F1651" w14:textId="77777777" w:rsidR="008940A5" w:rsidRDefault="008940A5" w:rsidP="00A35AAA">
            <w:r>
              <w:t>Purchase Order Number:</w:t>
            </w:r>
          </w:p>
        </w:tc>
        <w:tc>
          <w:tcPr>
            <w:tcW w:w="5335" w:type="dxa"/>
          </w:tcPr>
          <w:p w14:paraId="6DD8065A" w14:textId="77777777" w:rsidR="008940A5" w:rsidRDefault="008940A5" w:rsidP="00A35AAA"/>
        </w:tc>
      </w:tr>
      <w:tr w:rsidR="008940A5" w14:paraId="4FCA239B" w14:textId="77777777" w:rsidTr="00A35AAA">
        <w:tc>
          <w:tcPr>
            <w:tcW w:w="3681" w:type="dxa"/>
          </w:tcPr>
          <w:p w14:paraId="155B413C" w14:textId="77777777" w:rsidR="008940A5" w:rsidRDefault="008940A5" w:rsidP="00A35AAA">
            <w:r>
              <w:t>Contact Name for Payment Enquiries:</w:t>
            </w:r>
          </w:p>
        </w:tc>
        <w:tc>
          <w:tcPr>
            <w:tcW w:w="5335" w:type="dxa"/>
          </w:tcPr>
          <w:p w14:paraId="68E261AD" w14:textId="77777777" w:rsidR="008940A5" w:rsidRDefault="008940A5" w:rsidP="00A35AAA"/>
        </w:tc>
      </w:tr>
      <w:tr w:rsidR="008940A5" w14:paraId="7F0E446A" w14:textId="77777777" w:rsidTr="00A35AAA">
        <w:tc>
          <w:tcPr>
            <w:tcW w:w="3681" w:type="dxa"/>
          </w:tcPr>
          <w:p w14:paraId="18C4D185" w14:textId="77777777" w:rsidR="008940A5" w:rsidRDefault="008940A5" w:rsidP="00A35AAA">
            <w:r>
              <w:t>Email Address:</w:t>
            </w:r>
          </w:p>
        </w:tc>
        <w:tc>
          <w:tcPr>
            <w:tcW w:w="5335" w:type="dxa"/>
          </w:tcPr>
          <w:p w14:paraId="51A6977C" w14:textId="77777777" w:rsidR="008940A5" w:rsidRDefault="008940A5" w:rsidP="00A35AAA"/>
        </w:tc>
      </w:tr>
      <w:tr w:rsidR="008940A5" w14:paraId="1487061B" w14:textId="77777777" w:rsidTr="00A35AAA">
        <w:tc>
          <w:tcPr>
            <w:tcW w:w="3681" w:type="dxa"/>
          </w:tcPr>
          <w:p w14:paraId="61638493" w14:textId="77777777" w:rsidR="008940A5" w:rsidRDefault="008940A5" w:rsidP="00A35AAA">
            <w:r>
              <w:t>Telephone Number:</w:t>
            </w:r>
          </w:p>
        </w:tc>
        <w:tc>
          <w:tcPr>
            <w:tcW w:w="5335" w:type="dxa"/>
          </w:tcPr>
          <w:p w14:paraId="41E1F529" w14:textId="77777777" w:rsidR="008940A5" w:rsidRDefault="008940A5" w:rsidP="00A35AAA"/>
        </w:tc>
      </w:tr>
    </w:tbl>
    <w:p w14:paraId="1B01F5FB"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64E5BB81" w14:textId="77777777" w:rsidTr="00A35AAA">
        <w:tc>
          <w:tcPr>
            <w:tcW w:w="9016" w:type="dxa"/>
            <w:gridSpan w:val="2"/>
            <w:shd w:val="clear" w:color="auto" w:fill="9CC2E5" w:themeFill="accent1" w:themeFillTint="99"/>
          </w:tcPr>
          <w:p w14:paraId="35464C31" w14:textId="77777777" w:rsidR="008940A5" w:rsidRPr="00C36F9A" w:rsidRDefault="008940A5" w:rsidP="008940A5">
            <w:pPr>
              <w:rPr>
                <w:b/>
              </w:rPr>
            </w:pPr>
            <w:r>
              <w:rPr>
                <w:b/>
              </w:rPr>
              <w:t>Payment Details for Third Organisation</w:t>
            </w:r>
          </w:p>
        </w:tc>
      </w:tr>
      <w:tr w:rsidR="008940A5" w14:paraId="675A8EBB" w14:textId="77777777" w:rsidTr="00A35AAA">
        <w:tc>
          <w:tcPr>
            <w:tcW w:w="3681" w:type="dxa"/>
          </w:tcPr>
          <w:p w14:paraId="5C573D8C" w14:textId="77777777" w:rsidR="008940A5" w:rsidRPr="005B1308" w:rsidRDefault="008940A5" w:rsidP="00A35AAA">
            <w:r>
              <w:t>Name of Organisation:</w:t>
            </w:r>
          </w:p>
        </w:tc>
        <w:tc>
          <w:tcPr>
            <w:tcW w:w="5335" w:type="dxa"/>
          </w:tcPr>
          <w:p w14:paraId="19E0FD1A" w14:textId="77777777" w:rsidR="008940A5" w:rsidRDefault="008940A5" w:rsidP="00A35AAA"/>
        </w:tc>
      </w:tr>
      <w:tr w:rsidR="008940A5" w14:paraId="69EFB7E1" w14:textId="77777777" w:rsidTr="00A35AAA">
        <w:tc>
          <w:tcPr>
            <w:tcW w:w="3681" w:type="dxa"/>
          </w:tcPr>
          <w:p w14:paraId="1822964B" w14:textId="77777777" w:rsidR="008940A5" w:rsidRDefault="008940A5" w:rsidP="00A35AAA">
            <w:r>
              <w:t>Amount Payable:</w:t>
            </w:r>
          </w:p>
        </w:tc>
        <w:tc>
          <w:tcPr>
            <w:tcW w:w="5335" w:type="dxa"/>
          </w:tcPr>
          <w:p w14:paraId="01EC867A" w14:textId="77777777" w:rsidR="008940A5" w:rsidRDefault="008940A5" w:rsidP="00A35AAA">
            <w:r>
              <w:t>£</w:t>
            </w:r>
          </w:p>
        </w:tc>
      </w:tr>
      <w:tr w:rsidR="008940A5" w14:paraId="17244B01" w14:textId="77777777" w:rsidTr="00A35AAA">
        <w:tc>
          <w:tcPr>
            <w:tcW w:w="3681" w:type="dxa"/>
          </w:tcPr>
          <w:p w14:paraId="2C6E3079" w14:textId="77777777" w:rsidR="008940A5" w:rsidRDefault="008940A5" w:rsidP="00A35AAA">
            <w:r>
              <w:t>Purchase Order Number:</w:t>
            </w:r>
          </w:p>
        </w:tc>
        <w:tc>
          <w:tcPr>
            <w:tcW w:w="5335" w:type="dxa"/>
          </w:tcPr>
          <w:p w14:paraId="1A46547F" w14:textId="77777777" w:rsidR="008940A5" w:rsidRDefault="008940A5" w:rsidP="00A35AAA"/>
        </w:tc>
      </w:tr>
      <w:tr w:rsidR="008940A5" w14:paraId="5B4BC07C" w14:textId="77777777" w:rsidTr="00A35AAA">
        <w:tc>
          <w:tcPr>
            <w:tcW w:w="3681" w:type="dxa"/>
          </w:tcPr>
          <w:p w14:paraId="665E280C" w14:textId="77777777" w:rsidR="008940A5" w:rsidRDefault="008940A5" w:rsidP="00A35AAA">
            <w:r>
              <w:t>Contact Name for Payment Enquiries:</w:t>
            </w:r>
          </w:p>
        </w:tc>
        <w:tc>
          <w:tcPr>
            <w:tcW w:w="5335" w:type="dxa"/>
          </w:tcPr>
          <w:p w14:paraId="45334786" w14:textId="77777777" w:rsidR="008940A5" w:rsidRDefault="008940A5" w:rsidP="00A35AAA"/>
        </w:tc>
      </w:tr>
      <w:tr w:rsidR="008940A5" w14:paraId="1EEFE60F" w14:textId="77777777" w:rsidTr="00A35AAA">
        <w:tc>
          <w:tcPr>
            <w:tcW w:w="3681" w:type="dxa"/>
          </w:tcPr>
          <w:p w14:paraId="042448F7" w14:textId="77777777" w:rsidR="008940A5" w:rsidRDefault="008940A5" w:rsidP="00A35AAA">
            <w:r>
              <w:t>Email Address:</w:t>
            </w:r>
          </w:p>
        </w:tc>
        <w:tc>
          <w:tcPr>
            <w:tcW w:w="5335" w:type="dxa"/>
          </w:tcPr>
          <w:p w14:paraId="7F0FDF21" w14:textId="77777777" w:rsidR="008940A5" w:rsidRDefault="008940A5" w:rsidP="00A35AAA"/>
        </w:tc>
      </w:tr>
      <w:tr w:rsidR="008940A5" w14:paraId="1FDD6E7E" w14:textId="77777777" w:rsidTr="00A35AAA">
        <w:tc>
          <w:tcPr>
            <w:tcW w:w="3681" w:type="dxa"/>
          </w:tcPr>
          <w:p w14:paraId="745984AB" w14:textId="77777777" w:rsidR="008940A5" w:rsidRDefault="008940A5" w:rsidP="00A35AAA">
            <w:r>
              <w:t>Telephone Number:</w:t>
            </w:r>
          </w:p>
        </w:tc>
        <w:tc>
          <w:tcPr>
            <w:tcW w:w="5335" w:type="dxa"/>
          </w:tcPr>
          <w:p w14:paraId="29438F4E" w14:textId="77777777" w:rsidR="008940A5" w:rsidRDefault="008940A5" w:rsidP="00A35AAA"/>
        </w:tc>
      </w:tr>
    </w:tbl>
    <w:p w14:paraId="0CE4925F"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40F56DBD" w14:textId="77777777" w:rsidTr="00A35AAA">
        <w:tc>
          <w:tcPr>
            <w:tcW w:w="9016" w:type="dxa"/>
            <w:gridSpan w:val="2"/>
            <w:shd w:val="clear" w:color="auto" w:fill="9CC2E5" w:themeFill="accent1" w:themeFillTint="99"/>
          </w:tcPr>
          <w:p w14:paraId="37CFFBA3" w14:textId="77777777" w:rsidR="008940A5" w:rsidRPr="00C36F9A" w:rsidRDefault="008940A5" w:rsidP="008940A5">
            <w:pPr>
              <w:rPr>
                <w:b/>
              </w:rPr>
            </w:pPr>
            <w:r>
              <w:rPr>
                <w:b/>
              </w:rPr>
              <w:t>Payment Details for Fourth Organisation</w:t>
            </w:r>
          </w:p>
        </w:tc>
      </w:tr>
      <w:tr w:rsidR="008940A5" w14:paraId="66A6B35D" w14:textId="77777777" w:rsidTr="00A35AAA">
        <w:tc>
          <w:tcPr>
            <w:tcW w:w="3681" w:type="dxa"/>
          </w:tcPr>
          <w:p w14:paraId="227FB71D" w14:textId="77777777" w:rsidR="008940A5" w:rsidRPr="005B1308" w:rsidRDefault="008940A5" w:rsidP="00A35AAA">
            <w:r>
              <w:t>Name of Organisation:</w:t>
            </w:r>
          </w:p>
        </w:tc>
        <w:tc>
          <w:tcPr>
            <w:tcW w:w="5335" w:type="dxa"/>
          </w:tcPr>
          <w:p w14:paraId="18A0AA01" w14:textId="77777777" w:rsidR="008940A5" w:rsidRDefault="008940A5" w:rsidP="00A35AAA"/>
        </w:tc>
      </w:tr>
      <w:tr w:rsidR="008940A5" w14:paraId="12FD9E79" w14:textId="77777777" w:rsidTr="00A35AAA">
        <w:tc>
          <w:tcPr>
            <w:tcW w:w="3681" w:type="dxa"/>
          </w:tcPr>
          <w:p w14:paraId="243BF02C" w14:textId="77777777" w:rsidR="008940A5" w:rsidRDefault="008940A5" w:rsidP="00A35AAA">
            <w:r>
              <w:t>Amount Payable:</w:t>
            </w:r>
          </w:p>
        </w:tc>
        <w:tc>
          <w:tcPr>
            <w:tcW w:w="5335" w:type="dxa"/>
          </w:tcPr>
          <w:p w14:paraId="2A79855A" w14:textId="77777777" w:rsidR="008940A5" w:rsidRDefault="008940A5" w:rsidP="00A35AAA">
            <w:r>
              <w:t>£</w:t>
            </w:r>
          </w:p>
        </w:tc>
      </w:tr>
      <w:tr w:rsidR="008940A5" w14:paraId="52DDA0BE" w14:textId="77777777" w:rsidTr="00A35AAA">
        <w:tc>
          <w:tcPr>
            <w:tcW w:w="3681" w:type="dxa"/>
          </w:tcPr>
          <w:p w14:paraId="26B53417" w14:textId="77777777" w:rsidR="008940A5" w:rsidRDefault="008940A5" w:rsidP="00A35AAA">
            <w:r>
              <w:t>Purchase Order Number:</w:t>
            </w:r>
          </w:p>
        </w:tc>
        <w:tc>
          <w:tcPr>
            <w:tcW w:w="5335" w:type="dxa"/>
          </w:tcPr>
          <w:p w14:paraId="109C2FAC" w14:textId="77777777" w:rsidR="008940A5" w:rsidRDefault="008940A5" w:rsidP="00A35AAA"/>
        </w:tc>
      </w:tr>
      <w:tr w:rsidR="008940A5" w14:paraId="2815E1F0" w14:textId="77777777" w:rsidTr="00A35AAA">
        <w:tc>
          <w:tcPr>
            <w:tcW w:w="3681" w:type="dxa"/>
          </w:tcPr>
          <w:p w14:paraId="1B6C68E6" w14:textId="77777777" w:rsidR="008940A5" w:rsidRDefault="008940A5" w:rsidP="00A35AAA">
            <w:r>
              <w:t>Contact Name for Payment Enquiries:</w:t>
            </w:r>
          </w:p>
        </w:tc>
        <w:tc>
          <w:tcPr>
            <w:tcW w:w="5335" w:type="dxa"/>
          </w:tcPr>
          <w:p w14:paraId="29010B29" w14:textId="77777777" w:rsidR="008940A5" w:rsidRDefault="008940A5" w:rsidP="00A35AAA"/>
        </w:tc>
      </w:tr>
      <w:tr w:rsidR="008940A5" w14:paraId="7731D50B" w14:textId="77777777" w:rsidTr="00A35AAA">
        <w:tc>
          <w:tcPr>
            <w:tcW w:w="3681" w:type="dxa"/>
          </w:tcPr>
          <w:p w14:paraId="6A8976F2" w14:textId="77777777" w:rsidR="008940A5" w:rsidRDefault="008940A5" w:rsidP="00A35AAA">
            <w:r>
              <w:t>Email Address:</w:t>
            </w:r>
          </w:p>
        </w:tc>
        <w:tc>
          <w:tcPr>
            <w:tcW w:w="5335" w:type="dxa"/>
          </w:tcPr>
          <w:p w14:paraId="36A51C0C" w14:textId="77777777" w:rsidR="008940A5" w:rsidRDefault="008940A5" w:rsidP="00A35AAA"/>
        </w:tc>
      </w:tr>
      <w:tr w:rsidR="008940A5" w14:paraId="37BB164D" w14:textId="77777777" w:rsidTr="00A35AAA">
        <w:tc>
          <w:tcPr>
            <w:tcW w:w="3681" w:type="dxa"/>
          </w:tcPr>
          <w:p w14:paraId="4DC6FB49" w14:textId="77777777" w:rsidR="008940A5" w:rsidRDefault="008940A5" w:rsidP="00A35AAA">
            <w:r>
              <w:t>Telephone Number:</w:t>
            </w:r>
          </w:p>
        </w:tc>
        <w:tc>
          <w:tcPr>
            <w:tcW w:w="5335" w:type="dxa"/>
          </w:tcPr>
          <w:p w14:paraId="65A2F5C3" w14:textId="77777777" w:rsidR="008940A5" w:rsidRDefault="008940A5" w:rsidP="00A35AAA"/>
        </w:tc>
      </w:tr>
    </w:tbl>
    <w:p w14:paraId="1F53675C" w14:textId="77777777" w:rsidR="008940A5" w:rsidRDefault="008940A5" w:rsidP="008940A5"/>
    <w:tbl>
      <w:tblPr>
        <w:tblStyle w:val="TableGrid"/>
        <w:tblW w:w="0" w:type="auto"/>
        <w:tblLook w:val="04A0" w:firstRow="1" w:lastRow="0" w:firstColumn="1" w:lastColumn="0" w:noHBand="0" w:noVBand="1"/>
      </w:tblPr>
      <w:tblGrid>
        <w:gridCol w:w="3681"/>
        <w:gridCol w:w="5335"/>
      </w:tblGrid>
      <w:tr w:rsidR="008940A5" w:rsidRPr="00C36F9A" w14:paraId="680D8518" w14:textId="77777777" w:rsidTr="00A35AAA">
        <w:tc>
          <w:tcPr>
            <w:tcW w:w="9016" w:type="dxa"/>
            <w:gridSpan w:val="2"/>
            <w:shd w:val="clear" w:color="auto" w:fill="9CC2E5" w:themeFill="accent1" w:themeFillTint="99"/>
          </w:tcPr>
          <w:p w14:paraId="5DB0F0AA" w14:textId="77777777" w:rsidR="008940A5" w:rsidRPr="00C36F9A" w:rsidRDefault="008940A5" w:rsidP="008940A5">
            <w:pPr>
              <w:rPr>
                <w:b/>
              </w:rPr>
            </w:pPr>
            <w:r>
              <w:rPr>
                <w:b/>
              </w:rPr>
              <w:t>Payment Details for Fifth Organisation</w:t>
            </w:r>
          </w:p>
        </w:tc>
      </w:tr>
      <w:tr w:rsidR="008940A5" w14:paraId="525199A5" w14:textId="77777777" w:rsidTr="00A35AAA">
        <w:tc>
          <w:tcPr>
            <w:tcW w:w="3681" w:type="dxa"/>
          </w:tcPr>
          <w:p w14:paraId="69B7D3AA" w14:textId="77777777" w:rsidR="008940A5" w:rsidRPr="005B1308" w:rsidRDefault="008940A5" w:rsidP="00A35AAA">
            <w:r>
              <w:t>Name of Organisation:</w:t>
            </w:r>
          </w:p>
        </w:tc>
        <w:tc>
          <w:tcPr>
            <w:tcW w:w="5335" w:type="dxa"/>
          </w:tcPr>
          <w:p w14:paraId="4C401AD1" w14:textId="77777777" w:rsidR="008940A5" w:rsidRDefault="008940A5" w:rsidP="00A35AAA"/>
        </w:tc>
      </w:tr>
      <w:tr w:rsidR="008940A5" w14:paraId="382D3547" w14:textId="77777777" w:rsidTr="00A35AAA">
        <w:tc>
          <w:tcPr>
            <w:tcW w:w="3681" w:type="dxa"/>
          </w:tcPr>
          <w:p w14:paraId="1F8020FD" w14:textId="77777777" w:rsidR="008940A5" w:rsidRDefault="008940A5" w:rsidP="00A35AAA">
            <w:r>
              <w:t>Amount Payable:</w:t>
            </w:r>
          </w:p>
        </w:tc>
        <w:tc>
          <w:tcPr>
            <w:tcW w:w="5335" w:type="dxa"/>
          </w:tcPr>
          <w:p w14:paraId="117E5FC8" w14:textId="77777777" w:rsidR="008940A5" w:rsidRDefault="008940A5" w:rsidP="00A35AAA">
            <w:r>
              <w:t>£</w:t>
            </w:r>
          </w:p>
        </w:tc>
      </w:tr>
      <w:tr w:rsidR="008940A5" w14:paraId="3B5967E4" w14:textId="77777777" w:rsidTr="00A35AAA">
        <w:tc>
          <w:tcPr>
            <w:tcW w:w="3681" w:type="dxa"/>
          </w:tcPr>
          <w:p w14:paraId="3961B26B" w14:textId="77777777" w:rsidR="008940A5" w:rsidRDefault="008940A5" w:rsidP="00A35AAA">
            <w:r>
              <w:t>Purchase Order Number:</w:t>
            </w:r>
          </w:p>
        </w:tc>
        <w:tc>
          <w:tcPr>
            <w:tcW w:w="5335" w:type="dxa"/>
          </w:tcPr>
          <w:p w14:paraId="7406939A" w14:textId="77777777" w:rsidR="008940A5" w:rsidRDefault="008940A5" w:rsidP="00A35AAA"/>
        </w:tc>
      </w:tr>
      <w:tr w:rsidR="008940A5" w14:paraId="3C64A32A" w14:textId="77777777" w:rsidTr="00A35AAA">
        <w:tc>
          <w:tcPr>
            <w:tcW w:w="3681" w:type="dxa"/>
          </w:tcPr>
          <w:p w14:paraId="6FF373DC" w14:textId="77777777" w:rsidR="008940A5" w:rsidRDefault="008940A5" w:rsidP="00A35AAA">
            <w:r>
              <w:t>Contact Name for Payment Enquiries:</w:t>
            </w:r>
          </w:p>
        </w:tc>
        <w:tc>
          <w:tcPr>
            <w:tcW w:w="5335" w:type="dxa"/>
          </w:tcPr>
          <w:p w14:paraId="69B0BD8C" w14:textId="77777777" w:rsidR="008940A5" w:rsidRDefault="008940A5" w:rsidP="00A35AAA"/>
        </w:tc>
      </w:tr>
      <w:tr w:rsidR="008940A5" w14:paraId="75ED2D8D" w14:textId="77777777" w:rsidTr="00A35AAA">
        <w:tc>
          <w:tcPr>
            <w:tcW w:w="3681" w:type="dxa"/>
          </w:tcPr>
          <w:p w14:paraId="7BD44D08" w14:textId="77777777" w:rsidR="008940A5" w:rsidRDefault="008940A5" w:rsidP="00A35AAA">
            <w:r>
              <w:t>Email Address:</w:t>
            </w:r>
          </w:p>
        </w:tc>
        <w:tc>
          <w:tcPr>
            <w:tcW w:w="5335" w:type="dxa"/>
          </w:tcPr>
          <w:p w14:paraId="1A9C36C0" w14:textId="77777777" w:rsidR="008940A5" w:rsidRDefault="008940A5" w:rsidP="00A35AAA"/>
        </w:tc>
      </w:tr>
      <w:tr w:rsidR="008940A5" w14:paraId="11975C29" w14:textId="77777777" w:rsidTr="00A35AAA">
        <w:tc>
          <w:tcPr>
            <w:tcW w:w="3681" w:type="dxa"/>
          </w:tcPr>
          <w:p w14:paraId="26F97734" w14:textId="77777777" w:rsidR="008940A5" w:rsidRDefault="008940A5" w:rsidP="00A35AAA">
            <w:r>
              <w:t>Telephone Number:</w:t>
            </w:r>
          </w:p>
        </w:tc>
        <w:tc>
          <w:tcPr>
            <w:tcW w:w="5335" w:type="dxa"/>
          </w:tcPr>
          <w:p w14:paraId="4B5EDED5" w14:textId="77777777" w:rsidR="008940A5" w:rsidRDefault="008940A5" w:rsidP="00A35AAA"/>
        </w:tc>
      </w:tr>
    </w:tbl>
    <w:p w14:paraId="76B74F02" w14:textId="77777777" w:rsidR="008940A5" w:rsidRDefault="008940A5" w:rsidP="008940A5"/>
    <w:p w14:paraId="71330C0F" w14:textId="77777777" w:rsidR="008940A5" w:rsidRDefault="008940A5" w:rsidP="008940A5"/>
    <w:p w14:paraId="4E62919C" w14:textId="77777777" w:rsidR="00C84F81" w:rsidRDefault="00C84F81" w:rsidP="008940A5"/>
    <w:p w14:paraId="59EB8084" w14:textId="77777777" w:rsidR="008940A5" w:rsidRDefault="008940A5" w:rsidP="008940A5">
      <w:pPr>
        <w:jc w:val="center"/>
        <w:rPr>
          <w:b/>
        </w:rPr>
      </w:pPr>
      <w:r>
        <w:rPr>
          <w:b/>
        </w:rPr>
        <w:t>Miscellaneous Further Information</w:t>
      </w:r>
    </w:p>
    <w:p w14:paraId="3AAE2C95" w14:textId="77777777" w:rsidR="008940A5" w:rsidRDefault="008940A5" w:rsidP="008A7115">
      <w:pPr>
        <w:spacing w:before="240"/>
      </w:pPr>
      <w:r>
        <w:t xml:space="preserve">Please provide details of any relevant further information below </w:t>
      </w:r>
      <w:r w:rsidR="008A7115">
        <w:t>(</w:t>
      </w:r>
      <w:r>
        <w:t>if required</w:t>
      </w:r>
      <w:r w:rsidR="00B56BFB">
        <w:t>)</w:t>
      </w:r>
      <w:r>
        <w:t>:</w:t>
      </w:r>
    </w:p>
    <w:p w14:paraId="46F127CB" w14:textId="77777777" w:rsidR="0062259D" w:rsidRDefault="0062259D" w:rsidP="008940A5"/>
    <w:p w14:paraId="2C908484" w14:textId="77777777" w:rsidR="008940A5" w:rsidRDefault="008940A5" w:rsidP="008940A5">
      <w:r>
        <w:t>--------------------------------------------------------------------------------------------------------------------------------------</w:t>
      </w:r>
    </w:p>
    <w:p w14:paraId="3F3899C4" w14:textId="77777777" w:rsidR="0062259D" w:rsidRDefault="0062259D" w:rsidP="0062259D"/>
    <w:p w14:paraId="796FB78F" w14:textId="77777777" w:rsidR="0062259D" w:rsidRDefault="0062259D" w:rsidP="0062259D">
      <w:r>
        <w:t>--------------------------------------------------------------------------------------------------------------------------------------</w:t>
      </w:r>
    </w:p>
    <w:p w14:paraId="4DE1F477" w14:textId="77777777" w:rsidR="0062259D" w:rsidRDefault="0062259D" w:rsidP="0062259D"/>
    <w:p w14:paraId="706C5B75" w14:textId="77777777" w:rsidR="0062259D" w:rsidRDefault="0062259D" w:rsidP="0062259D">
      <w:r>
        <w:t>--------------------------------------------------------------------------------------------------------------------------------------</w:t>
      </w:r>
    </w:p>
    <w:p w14:paraId="07FD9CBB" w14:textId="77777777" w:rsidR="0062259D" w:rsidRDefault="0062259D" w:rsidP="0062259D"/>
    <w:p w14:paraId="277263EA" w14:textId="77777777" w:rsidR="0062259D" w:rsidRDefault="0062259D" w:rsidP="0062259D">
      <w:r>
        <w:t>--------------------------------------------------------------------------------------------------------------------------------------</w:t>
      </w:r>
    </w:p>
    <w:p w14:paraId="6A6FC167" w14:textId="77777777" w:rsidR="0062259D" w:rsidRDefault="0062259D" w:rsidP="0062259D"/>
    <w:p w14:paraId="5C5B6B80" w14:textId="77777777" w:rsidR="0062259D" w:rsidRDefault="0062259D" w:rsidP="0062259D">
      <w:r>
        <w:t>--------------------------------------------------------------------------------------------------------------------------------------</w:t>
      </w:r>
    </w:p>
    <w:p w14:paraId="3A37FA99" w14:textId="77777777" w:rsidR="0062259D" w:rsidRDefault="0062259D" w:rsidP="0062259D"/>
    <w:p w14:paraId="1095850B" w14:textId="77777777" w:rsidR="0062259D" w:rsidRDefault="0062259D" w:rsidP="0062259D">
      <w:r>
        <w:t>--------------------------------------------------------------------------------------------------------------------------------------</w:t>
      </w:r>
    </w:p>
    <w:p w14:paraId="531DB915" w14:textId="77777777" w:rsidR="008940A5" w:rsidRPr="008940A5" w:rsidRDefault="008940A5" w:rsidP="008940A5"/>
    <w:sectPr w:rsidR="008940A5" w:rsidRPr="008940A5" w:rsidSect="005B1308">
      <w:headerReference w:type="default" r:id="rId10"/>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30F0" w14:textId="77777777" w:rsidR="006A53A6" w:rsidRDefault="006A53A6" w:rsidP="00F2114E">
      <w:pPr>
        <w:spacing w:after="0" w:line="240" w:lineRule="auto"/>
      </w:pPr>
      <w:r>
        <w:separator/>
      </w:r>
    </w:p>
  </w:endnote>
  <w:endnote w:type="continuationSeparator" w:id="0">
    <w:p w14:paraId="65CDC8DD" w14:textId="77777777" w:rsidR="006A53A6" w:rsidRDefault="006A53A6" w:rsidP="00F2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A9E7" w14:textId="77777777" w:rsidR="002B55E6" w:rsidRDefault="002B55E6">
    <w:pPr>
      <w:pStyle w:val="Footer"/>
    </w:pPr>
    <w:r>
      <w:rPr>
        <w:noProof/>
        <w:lang w:eastAsia="en-GB"/>
      </w:rPr>
      <mc:AlternateContent>
        <mc:Choice Requires="wps">
          <w:drawing>
            <wp:anchor distT="0" distB="0" distL="118745" distR="118745" simplePos="0" relativeHeight="251661312" behindDoc="1" locked="0" layoutInCell="1" allowOverlap="0" wp14:anchorId="25E234A1" wp14:editId="7209DBC7">
              <wp:simplePos x="0" y="0"/>
              <wp:positionH relativeFrom="margin">
                <wp:align>right</wp:align>
              </wp:positionH>
              <wp:positionV relativeFrom="page">
                <wp:posOffset>10071735</wp:posOffset>
              </wp:positionV>
              <wp:extent cx="5728970" cy="355600"/>
              <wp:effectExtent l="0" t="0" r="2540" b="6350"/>
              <wp:wrapSquare wrapText="bothSides"/>
              <wp:docPr id="1" name="Rectangle 1"/>
              <wp:cNvGraphicFramePr/>
              <a:graphic xmlns:a="http://schemas.openxmlformats.org/drawingml/2006/main">
                <a:graphicData uri="http://schemas.microsoft.com/office/word/2010/wordprocessingShape">
                  <wps:wsp>
                    <wps:cNvSpPr/>
                    <wps:spPr>
                      <a:xfrm>
                        <a:off x="0" y="0"/>
                        <a:ext cx="5728970" cy="3556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CE29A" w14:textId="77777777" w:rsidR="002B55E6" w:rsidRPr="00F2114E" w:rsidRDefault="002B55E6" w:rsidP="002B55E6">
                          <w:pPr>
                            <w:spacing w:after="0" w:line="240" w:lineRule="auto"/>
                            <w:jc w:val="center"/>
                            <w:rPr>
                              <w:sz w:val="28"/>
                            </w:rPr>
                          </w:pPr>
                          <w:r>
                            <w:rPr>
                              <w:sz w:val="28"/>
                            </w:rPr>
                            <w:t xml:space="preserve">www.thebenchmarkingpartnership.com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25E234A1" id="Rectangle 1" o:spid="_x0000_s1027" style="position:absolute;margin-left:399.9pt;margin-top:793.05pt;width:451.1pt;height:28pt;z-index:-251655168;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" o:allowoverlap="f" fillcolor="#2e74b5 [2404]" stroked="f" strokeweight="1pt">
              <v:textbox>
                <w:txbxContent>
                  <w:p w14:paraId="25FCE29A" w14:textId="77777777" w:rsidR="002B55E6" w:rsidRPr="00F2114E" w:rsidRDefault="002B55E6" w:rsidP="002B55E6">
                    <w:pPr>
                      <w:spacing w:after="0" w:line="240" w:lineRule="auto"/>
                      <w:jc w:val="center"/>
                      <w:rPr>
                        <w:sz w:val="28"/>
                      </w:rPr>
                    </w:pPr>
                    <w:r>
                      <w:rPr>
                        <w:sz w:val="28"/>
                      </w:rPr>
                      <w:t xml:space="preserve">www.thebenchmarkingpartnership.com </w:t>
                    </w:r>
                  </w:p>
                </w:txbxContent>
              </v:textbox>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8408" w14:textId="77777777" w:rsidR="006A53A6" w:rsidRDefault="006A53A6" w:rsidP="00F2114E">
      <w:pPr>
        <w:spacing w:after="0" w:line="240" w:lineRule="auto"/>
      </w:pPr>
      <w:r>
        <w:separator/>
      </w:r>
    </w:p>
  </w:footnote>
  <w:footnote w:type="continuationSeparator" w:id="0">
    <w:p w14:paraId="52AEE21D" w14:textId="77777777" w:rsidR="006A53A6" w:rsidRDefault="006A53A6" w:rsidP="00F2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C70" w14:textId="77777777" w:rsidR="00F2114E" w:rsidRDefault="00F2114E">
    <w:pPr>
      <w:pStyle w:val="Header"/>
    </w:pPr>
    <w:r>
      <w:rPr>
        <w:noProof/>
        <w:lang w:eastAsia="en-GB"/>
      </w:rPr>
      <mc:AlternateContent>
        <mc:Choice Requires="wps">
          <w:drawing>
            <wp:anchor distT="0" distB="0" distL="118745" distR="118745" simplePos="0" relativeHeight="251659264" behindDoc="1" locked="0" layoutInCell="1" allowOverlap="0" wp14:anchorId="04C2131C" wp14:editId="2463DB56">
              <wp:simplePos x="0" y="0"/>
              <wp:positionH relativeFrom="margin">
                <wp:align>right</wp:align>
              </wp:positionH>
              <wp:positionV relativeFrom="page">
                <wp:posOffset>257175</wp:posOffset>
              </wp:positionV>
              <wp:extent cx="5847080" cy="76962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847080" cy="76962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15295" w14:textId="77777777" w:rsidR="00F2114E" w:rsidRPr="002B55E6" w:rsidRDefault="00F2114E" w:rsidP="00F2114E">
                          <w:pPr>
                            <w:spacing w:after="0" w:line="240" w:lineRule="auto"/>
                            <w:jc w:val="center"/>
                            <w:rPr>
                              <w:b/>
                              <w:sz w:val="40"/>
                            </w:rPr>
                          </w:pPr>
                          <w:r w:rsidRPr="002B55E6">
                            <w:rPr>
                              <w:b/>
                              <w:sz w:val="40"/>
                            </w:rPr>
                            <w:t>The Benchmarking Partnership</w:t>
                          </w:r>
                        </w:p>
                        <w:p w14:paraId="080A108C" w14:textId="22991B8F" w:rsidR="00F2114E" w:rsidRPr="00F2114E" w:rsidRDefault="00E67042" w:rsidP="00F2114E">
                          <w:pPr>
                            <w:spacing w:after="0" w:line="240" w:lineRule="auto"/>
                            <w:jc w:val="center"/>
                            <w:rPr>
                              <w:sz w:val="28"/>
                            </w:rPr>
                          </w:pPr>
                          <w:r>
                            <w:rPr>
                              <w:sz w:val="28"/>
                            </w:rPr>
                            <w:t>Pathology</w:t>
                          </w:r>
                          <w:r w:rsidR="002B55E6">
                            <w:rPr>
                              <w:sz w:val="28"/>
                            </w:rPr>
                            <w:t xml:space="preserve"> Demand Optimisation Programme</w:t>
                          </w:r>
                          <w:r w:rsidR="008E7FCF">
                            <w:rPr>
                              <w:sz w:val="28"/>
                            </w:rPr>
                            <w:t>s 2025 -</w:t>
                          </w:r>
                          <w:r w:rsidR="002B55E6">
                            <w:rPr>
                              <w:sz w:val="28"/>
                            </w:rPr>
                            <w:t xml:space="preserve"> Subscription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4C2131C" id="Rectangle 197" o:spid="_x0000_s1026" style="position:absolute;margin-left:409.2pt;margin-top:20.25pt;width:460.4pt;height:60.6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" o:allowoverlap="f" fillcolor="#2e74b5 [2404]" stroked="f" strokeweight="1pt">
              <v:textbox>
                <w:txbxContent>
                  <w:p w14:paraId="7F415295" w14:textId="77777777" w:rsidR="00F2114E" w:rsidRPr="002B55E6" w:rsidRDefault="00F2114E" w:rsidP="00F2114E">
                    <w:pPr>
                      <w:spacing w:after="0" w:line="240" w:lineRule="auto"/>
                      <w:jc w:val="center"/>
                      <w:rPr>
                        <w:b/>
                        <w:sz w:val="40"/>
                      </w:rPr>
                    </w:pPr>
                    <w:r w:rsidRPr="002B55E6">
                      <w:rPr>
                        <w:b/>
                        <w:sz w:val="40"/>
                      </w:rPr>
                      <w:t>The Benchmarking Partnership</w:t>
                    </w:r>
                  </w:p>
                  <w:p w14:paraId="080A108C" w14:textId="22991B8F" w:rsidR="00F2114E" w:rsidRPr="00F2114E" w:rsidRDefault="00E67042" w:rsidP="00F2114E">
                    <w:pPr>
                      <w:spacing w:after="0" w:line="240" w:lineRule="auto"/>
                      <w:jc w:val="center"/>
                      <w:rPr>
                        <w:sz w:val="28"/>
                      </w:rPr>
                    </w:pPr>
                    <w:r>
                      <w:rPr>
                        <w:sz w:val="28"/>
                      </w:rPr>
                      <w:t>Pathology</w:t>
                    </w:r>
                    <w:r w:rsidR="002B55E6">
                      <w:rPr>
                        <w:sz w:val="28"/>
                      </w:rPr>
                      <w:t xml:space="preserve"> Demand Optimisation Programme</w:t>
                    </w:r>
                    <w:r w:rsidR="008E7FCF">
                      <w:rPr>
                        <w:sz w:val="28"/>
                      </w:rPr>
                      <w:t>s 2025 -</w:t>
                    </w:r>
                    <w:r w:rsidR="002B55E6">
                      <w:rPr>
                        <w:sz w:val="28"/>
                      </w:rPr>
                      <w:t xml:space="preserve"> Subscription Form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252"/>
    <w:multiLevelType w:val="hybridMultilevel"/>
    <w:tmpl w:val="1F94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112E1"/>
    <w:multiLevelType w:val="hybridMultilevel"/>
    <w:tmpl w:val="D36A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A547B"/>
    <w:multiLevelType w:val="hybridMultilevel"/>
    <w:tmpl w:val="349CB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672348">
    <w:abstractNumId w:val="2"/>
  </w:num>
  <w:num w:numId="2" w16cid:durableId="168571117">
    <w:abstractNumId w:val="1"/>
  </w:num>
  <w:num w:numId="3" w16cid:durableId="128098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4E"/>
    <w:rsid w:val="00026E5F"/>
    <w:rsid w:val="0003078E"/>
    <w:rsid w:val="00084061"/>
    <w:rsid w:val="0008576A"/>
    <w:rsid w:val="000908E3"/>
    <w:rsid w:val="000D09A8"/>
    <w:rsid w:val="001D7437"/>
    <w:rsid w:val="001E28A7"/>
    <w:rsid w:val="001F229E"/>
    <w:rsid w:val="002752C8"/>
    <w:rsid w:val="00290B86"/>
    <w:rsid w:val="00295D69"/>
    <w:rsid w:val="002B55E6"/>
    <w:rsid w:val="002C204D"/>
    <w:rsid w:val="002F1D53"/>
    <w:rsid w:val="00355037"/>
    <w:rsid w:val="00395B15"/>
    <w:rsid w:val="003A6502"/>
    <w:rsid w:val="003D2A5E"/>
    <w:rsid w:val="004010DE"/>
    <w:rsid w:val="00431E4C"/>
    <w:rsid w:val="00491AAD"/>
    <w:rsid w:val="004D551A"/>
    <w:rsid w:val="005623FF"/>
    <w:rsid w:val="005835AA"/>
    <w:rsid w:val="005B1308"/>
    <w:rsid w:val="005C685C"/>
    <w:rsid w:val="005D2F16"/>
    <w:rsid w:val="005D6D63"/>
    <w:rsid w:val="0062259D"/>
    <w:rsid w:val="00650B76"/>
    <w:rsid w:val="006800A0"/>
    <w:rsid w:val="006A53A6"/>
    <w:rsid w:val="006C02BE"/>
    <w:rsid w:val="006E509B"/>
    <w:rsid w:val="00787553"/>
    <w:rsid w:val="007A0351"/>
    <w:rsid w:val="007B6C5C"/>
    <w:rsid w:val="008224DD"/>
    <w:rsid w:val="00864FDE"/>
    <w:rsid w:val="008940A5"/>
    <w:rsid w:val="008A7115"/>
    <w:rsid w:val="008B344A"/>
    <w:rsid w:val="008E7FCF"/>
    <w:rsid w:val="00942785"/>
    <w:rsid w:val="00974579"/>
    <w:rsid w:val="009D0D4A"/>
    <w:rsid w:val="009D2C68"/>
    <w:rsid w:val="009F118F"/>
    <w:rsid w:val="00A67DBB"/>
    <w:rsid w:val="00A70649"/>
    <w:rsid w:val="00A8205B"/>
    <w:rsid w:val="00AE5BE4"/>
    <w:rsid w:val="00B00FBA"/>
    <w:rsid w:val="00B35D10"/>
    <w:rsid w:val="00B56BFB"/>
    <w:rsid w:val="00BD6508"/>
    <w:rsid w:val="00C02C6F"/>
    <w:rsid w:val="00C27560"/>
    <w:rsid w:val="00C36F9A"/>
    <w:rsid w:val="00C84600"/>
    <w:rsid w:val="00C84F81"/>
    <w:rsid w:val="00D64A12"/>
    <w:rsid w:val="00E03B7E"/>
    <w:rsid w:val="00E518B5"/>
    <w:rsid w:val="00E66086"/>
    <w:rsid w:val="00E67042"/>
    <w:rsid w:val="00EB488D"/>
    <w:rsid w:val="00F2114E"/>
    <w:rsid w:val="00F3703B"/>
    <w:rsid w:val="00F86952"/>
    <w:rsid w:val="00FC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351B"/>
  <w15:chartTrackingRefBased/>
  <w15:docId w15:val="{984725E1-088D-4BC0-9737-7A537B77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14E"/>
  </w:style>
  <w:style w:type="paragraph" w:styleId="Footer">
    <w:name w:val="footer"/>
    <w:basedOn w:val="Normal"/>
    <w:link w:val="FooterChar"/>
    <w:uiPriority w:val="99"/>
    <w:unhideWhenUsed/>
    <w:rsid w:val="00F2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14E"/>
  </w:style>
  <w:style w:type="table" w:styleId="TableGrid">
    <w:name w:val="Table Grid"/>
    <w:basedOn w:val="TableNormal"/>
    <w:uiPriority w:val="39"/>
    <w:rsid w:val="002B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553"/>
    <w:rPr>
      <w:color w:val="0563C1" w:themeColor="hyperlink"/>
      <w:u w:val="single"/>
    </w:rPr>
  </w:style>
  <w:style w:type="paragraph" w:styleId="ListParagraph">
    <w:name w:val="List Paragraph"/>
    <w:basedOn w:val="Normal"/>
    <w:uiPriority w:val="34"/>
    <w:qFormat/>
    <w:rsid w:val="00787553"/>
    <w:pPr>
      <w:ind w:left="720"/>
      <w:contextualSpacing/>
    </w:pPr>
  </w:style>
  <w:style w:type="character" w:styleId="UnresolvedMention">
    <w:name w:val="Unresolved Mention"/>
    <w:basedOn w:val="DefaultParagraphFont"/>
    <w:uiPriority w:val="99"/>
    <w:semiHidden/>
    <w:unhideWhenUsed/>
    <w:rsid w:val="00C8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highburyanalytica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athology.sup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atholog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Benchmarking Partnership</vt:lpstr>
    </vt:vector>
  </TitlesOfParts>
  <Company>School of Pharmacy, Keele University</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Benchmarking Partnership</dc:title>
  <dc:subject/>
  <dc:creator>pya69</dc:creator>
  <cp:keywords/>
  <dc:description/>
  <cp:lastModifiedBy>David Holland</cp:lastModifiedBy>
  <cp:revision>6</cp:revision>
  <dcterms:created xsi:type="dcterms:W3CDTF">2025-01-09T13:33:00Z</dcterms:created>
  <dcterms:modified xsi:type="dcterms:W3CDTF">2025-01-09T15:15:00Z</dcterms:modified>
</cp:coreProperties>
</file>